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C37" w:rsidRPr="000F25EC" w:rsidRDefault="00770B6C" w:rsidP="00362CD9">
      <w:pPr>
        <w:pStyle w:val="BodyText"/>
        <w:tabs>
          <w:tab w:val="left" w:pos="1701"/>
        </w:tabs>
      </w:pPr>
      <w:r w:rsidRPr="000F25EC">
        <w:t>EEP</w:t>
      </w:r>
      <w:r w:rsidR="006B5404" w:rsidRPr="000F25EC">
        <w:t>1</w:t>
      </w:r>
      <w:r w:rsidR="007C7AA7" w:rsidRPr="000F25EC">
        <w:t>7</w:t>
      </w:r>
      <w:r w:rsidR="0092692B" w:rsidRPr="000F25EC">
        <w:tab/>
      </w:r>
      <w:r w:rsidR="001C44A3" w:rsidRPr="000F25EC">
        <w:t xml:space="preserve">Input </w:t>
      </w:r>
      <w:r w:rsidR="00A0389B" w:rsidRPr="000F25EC">
        <w:t xml:space="preserve">/ Information </w:t>
      </w:r>
      <w:r w:rsidR="001C44A3" w:rsidRPr="000F25EC">
        <w:t>paper</w:t>
      </w:r>
      <w:r w:rsidR="00A0389B" w:rsidRPr="000F25EC">
        <w:t xml:space="preserve"> </w:t>
      </w:r>
    </w:p>
    <w:p w:rsidR="00A446C9" w:rsidRPr="000F25EC" w:rsidRDefault="00A446C9" w:rsidP="00362CD9">
      <w:pPr>
        <w:pStyle w:val="BodyText"/>
        <w:tabs>
          <w:tab w:val="left" w:pos="1701"/>
        </w:tabs>
      </w:pPr>
      <w:r w:rsidRPr="000F25EC">
        <w:t>Agenda item</w:t>
      </w:r>
      <w:r w:rsidR="001C44A3" w:rsidRPr="000F25EC">
        <w:tab/>
      </w:r>
      <w:r w:rsidR="00E20C37" w:rsidRPr="000F25EC">
        <w:t xml:space="preserve">EEP17 / </w:t>
      </w:r>
      <w:r w:rsidR="000F25EC" w:rsidRPr="000F25EC">
        <w:t xml:space="preserve">8.6 </w:t>
      </w:r>
      <w:r w:rsidR="00E20C37" w:rsidRPr="000F25EC">
        <w:t>- Action Item 44</w:t>
      </w:r>
    </w:p>
    <w:p w:rsidR="00A446C9" w:rsidRPr="000F25EC" w:rsidRDefault="00A446C9" w:rsidP="00362CD9">
      <w:pPr>
        <w:pStyle w:val="BodyText"/>
        <w:tabs>
          <w:tab w:val="left" w:pos="1701"/>
        </w:tabs>
      </w:pPr>
      <w:r w:rsidRPr="000F25EC">
        <w:t>Task Number</w:t>
      </w:r>
      <w:r w:rsidR="001C44A3" w:rsidRPr="000F25EC">
        <w:tab/>
      </w:r>
      <w:r w:rsidR="000F25EC" w:rsidRPr="000F25EC">
        <w:t>1</w:t>
      </w:r>
      <w:r w:rsidR="00E20C37" w:rsidRPr="000F25EC">
        <w:t>4</w:t>
      </w:r>
    </w:p>
    <w:p w:rsidR="00362CD9" w:rsidRDefault="00362CD9" w:rsidP="00362CD9">
      <w:pPr>
        <w:pStyle w:val="BodyText"/>
        <w:tabs>
          <w:tab w:val="left" w:pos="1701"/>
        </w:tabs>
      </w:pPr>
      <w:r w:rsidRPr="000F25EC">
        <w:t>Author(s)</w:t>
      </w:r>
      <w:r w:rsidRPr="000F25EC">
        <w:tab/>
      </w:r>
      <w:r w:rsidR="000F25EC" w:rsidRPr="000F25EC">
        <w:t xml:space="preserve">Mariano Luis </w:t>
      </w:r>
      <w:proofErr w:type="spellStart"/>
      <w:r w:rsidR="000F25EC" w:rsidRPr="000F25EC">
        <w:t>Marpegan</w:t>
      </w:r>
      <w:proofErr w:type="spellEnd"/>
      <w:r w:rsidR="000F25EC">
        <w:t xml:space="preserve"> – </w:t>
      </w:r>
      <w:proofErr w:type="spellStart"/>
      <w:r w:rsidR="000F25EC">
        <w:t>Raúl</w:t>
      </w:r>
      <w:proofErr w:type="spellEnd"/>
      <w:r w:rsidR="000F25EC">
        <w:t xml:space="preserve"> Escalante</w:t>
      </w:r>
    </w:p>
    <w:p w:rsidR="000F25EC" w:rsidRDefault="000F25EC" w:rsidP="00362CD9">
      <w:pPr>
        <w:pStyle w:val="BodyText"/>
        <w:tabs>
          <w:tab w:val="left" w:pos="1701"/>
        </w:tabs>
      </w:pPr>
    </w:p>
    <w:p w:rsidR="00E20C37" w:rsidRPr="005E13A9" w:rsidRDefault="00E20C37" w:rsidP="00E20C37">
      <w:pPr>
        <w:widowControl w:val="0"/>
        <w:autoSpaceDE w:val="0"/>
        <w:autoSpaceDN w:val="0"/>
        <w:adjustRightInd w:val="0"/>
        <w:jc w:val="center"/>
        <w:rPr>
          <w:b/>
          <w:bCs/>
          <w:sz w:val="32"/>
          <w:szCs w:val="32"/>
        </w:rPr>
      </w:pPr>
      <w:r w:rsidRPr="005E13A9">
        <w:rPr>
          <w:b/>
          <w:bCs/>
          <w:sz w:val="32"/>
          <w:szCs w:val="32"/>
        </w:rPr>
        <w:t>ANTARCTIC NAVIGATION COURSE (NAVANTAR)</w:t>
      </w:r>
    </w:p>
    <w:p w:rsidR="00A446C9" w:rsidRDefault="00A446C9" w:rsidP="00A446C9">
      <w:pPr>
        <w:pStyle w:val="Heading1"/>
      </w:pPr>
      <w:r>
        <w:t>Summary</w:t>
      </w:r>
    </w:p>
    <w:p w:rsidR="004E5552" w:rsidRPr="004E5552" w:rsidRDefault="004E5552" w:rsidP="004E5552">
      <w:pPr>
        <w:pStyle w:val="BodyText"/>
      </w:pPr>
      <w:r w:rsidRPr="004E5552">
        <w:t>This course addresses professional navy officers, both civilian and military, Argentinean and foreigners, bearing degrees and credentials in accordance to the Antarctic Treaty and its annexes. On the one hand, it satisfies the compelling need to share knowledge, experience and procedures, with captains and bridge officers currently involved in Antarctic navigation under harsh geographic settings and strict regulations.</w:t>
      </w:r>
    </w:p>
    <w:p w:rsidR="00A446C9" w:rsidRDefault="004E5552" w:rsidP="000F25EC">
      <w:pPr>
        <w:pStyle w:val="BodyText"/>
      </w:pPr>
      <w:r w:rsidRPr="004E5552">
        <w:t>On the other hand, it serves as an answer to the importance of raising awareness and knowledge of the Antarctic environment, its preservation and that of its living resources, survival techniques, risk management and the improvement of maritime security. The aforementioned strict regulations stem from international treaties and agreements, the accomplishment of which both governments and operators are responsible for.</w:t>
      </w:r>
    </w:p>
    <w:p w:rsidR="00737550" w:rsidRDefault="00737550" w:rsidP="000F25EC">
      <w:pPr>
        <w:pStyle w:val="Heading1"/>
      </w:pPr>
      <w:r>
        <w:t>Objectives:</w:t>
      </w:r>
    </w:p>
    <w:p w:rsidR="00737550" w:rsidRDefault="00737550" w:rsidP="00737550">
      <w:pPr>
        <w:pStyle w:val="BodyText"/>
      </w:pPr>
      <w:r>
        <w:t>Share the Argentine experience in the Antarctic region and condense all the available information gathered in order to:</w:t>
      </w:r>
    </w:p>
    <w:p w:rsidR="00737550" w:rsidRDefault="00737550" w:rsidP="00001C08">
      <w:pPr>
        <w:pStyle w:val="BodyText"/>
        <w:numPr>
          <w:ilvl w:val="0"/>
          <w:numId w:val="40"/>
        </w:numPr>
      </w:pPr>
      <w:r>
        <w:t>Understand the importance of survival on land and water, first aid and the prevention of spills and pollution in the region.</w:t>
      </w:r>
    </w:p>
    <w:p w:rsidR="00737550" w:rsidRDefault="00737550" w:rsidP="00001C08">
      <w:pPr>
        <w:pStyle w:val="BodyText"/>
        <w:numPr>
          <w:ilvl w:val="0"/>
          <w:numId w:val="40"/>
        </w:numPr>
      </w:pPr>
      <w:r>
        <w:t>Apply knowledge acquired as a useful tool to ensure the appropriate performance amidst Antarctic maritime operations.</w:t>
      </w:r>
    </w:p>
    <w:p w:rsidR="00737550" w:rsidRDefault="00737550" w:rsidP="00001C08">
      <w:pPr>
        <w:pStyle w:val="BodyText"/>
        <w:numPr>
          <w:ilvl w:val="0"/>
          <w:numId w:val="40"/>
        </w:numPr>
      </w:pPr>
      <w:r>
        <w:t xml:space="preserve">Implement the resources in the Antarctic region with regard to the environment, patience and steering skills in both good and harsh weather conditions. </w:t>
      </w:r>
    </w:p>
    <w:p w:rsidR="00737550" w:rsidRDefault="00737550" w:rsidP="00001C08">
      <w:pPr>
        <w:pStyle w:val="BodyText"/>
        <w:numPr>
          <w:ilvl w:val="0"/>
          <w:numId w:val="40"/>
        </w:numPr>
      </w:pPr>
      <w:r>
        <w:t>Value the Argentine activities in the Antarctic region.</w:t>
      </w:r>
    </w:p>
    <w:p w:rsidR="00737550" w:rsidRDefault="00737550" w:rsidP="00001C08">
      <w:pPr>
        <w:pStyle w:val="BodyText"/>
        <w:numPr>
          <w:ilvl w:val="0"/>
          <w:numId w:val="40"/>
        </w:numPr>
      </w:pPr>
      <w:r>
        <w:t>Relate the experience to the constant knowledge updates and to the thorough preparation during training and the thereupon successful performance in Antarctic latitudes.</w:t>
      </w:r>
    </w:p>
    <w:p w:rsidR="00737550" w:rsidRDefault="00737550" w:rsidP="00001C08">
      <w:pPr>
        <w:pStyle w:val="BodyText"/>
        <w:numPr>
          <w:ilvl w:val="0"/>
          <w:numId w:val="40"/>
        </w:numPr>
      </w:pPr>
      <w:r>
        <w:t>Appreciate the complex, harsh, unpredictable and severe Antarctic environment, as well as the impending need to protect it under strict codes of conduct of greater demand than those imposed in any other area in the globe.</w:t>
      </w:r>
    </w:p>
    <w:p w:rsidR="00001C08" w:rsidRPr="009C7095" w:rsidRDefault="00001C08" w:rsidP="00001C08">
      <w:pPr>
        <w:widowControl w:val="0"/>
        <w:autoSpaceDE w:val="0"/>
        <w:autoSpaceDN w:val="0"/>
        <w:adjustRightInd w:val="0"/>
        <w:rPr>
          <w:highlight w:val="yellow"/>
        </w:rPr>
      </w:pPr>
    </w:p>
    <w:p w:rsidR="00001C08" w:rsidRPr="00001C08" w:rsidRDefault="00001C08" w:rsidP="00001C08">
      <w:pPr>
        <w:widowControl w:val="0"/>
        <w:autoSpaceDE w:val="0"/>
        <w:autoSpaceDN w:val="0"/>
        <w:adjustRightInd w:val="0"/>
      </w:pPr>
      <w:proofErr w:type="gramStart"/>
      <w:r w:rsidRPr="00001C08">
        <w:t>Presented in an educational language in accordance with the Antarctic Treaty and National Policies.</w:t>
      </w:r>
      <w:proofErr w:type="gramEnd"/>
    </w:p>
    <w:p w:rsidR="00001C08" w:rsidRPr="00001C08" w:rsidRDefault="00001C08" w:rsidP="00001C08">
      <w:pPr>
        <w:widowControl w:val="0"/>
        <w:autoSpaceDE w:val="0"/>
        <w:autoSpaceDN w:val="0"/>
        <w:adjustRightInd w:val="0"/>
      </w:pPr>
    </w:p>
    <w:p w:rsidR="00001C08" w:rsidRPr="00001C08" w:rsidRDefault="00001C08" w:rsidP="00001C08">
      <w:pPr>
        <w:pStyle w:val="ListParagraph"/>
        <w:widowControl w:val="0"/>
        <w:numPr>
          <w:ilvl w:val="0"/>
          <w:numId w:val="22"/>
        </w:numPr>
        <w:autoSpaceDE w:val="0"/>
        <w:autoSpaceDN w:val="0"/>
        <w:adjustRightInd w:val="0"/>
      </w:pPr>
      <w:r w:rsidRPr="00001C08">
        <w:rPr>
          <w:b/>
          <w:bCs/>
        </w:rPr>
        <w:t xml:space="preserve">Implement </w:t>
      </w:r>
      <w:r w:rsidRPr="00001C08">
        <w:t>the means in the Antarctic regions as regards environment, patience and steering skills in both good and rough weather conditions.</w:t>
      </w:r>
    </w:p>
    <w:p w:rsidR="00001C08" w:rsidRPr="00001C08" w:rsidRDefault="00001C08" w:rsidP="00001C08">
      <w:pPr>
        <w:pStyle w:val="ListParagraph"/>
        <w:widowControl w:val="0"/>
        <w:numPr>
          <w:ilvl w:val="0"/>
          <w:numId w:val="22"/>
        </w:numPr>
        <w:autoSpaceDE w:val="0"/>
        <w:autoSpaceDN w:val="0"/>
        <w:adjustRightInd w:val="0"/>
      </w:pPr>
      <w:r w:rsidRPr="00001C08">
        <w:rPr>
          <w:b/>
          <w:bCs/>
        </w:rPr>
        <w:t xml:space="preserve">Value </w:t>
      </w:r>
      <w:r w:rsidRPr="00001C08">
        <w:t>the Argentine activities in the Antarctic region.</w:t>
      </w:r>
    </w:p>
    <w:p w:rsidR="00001C08" w:rsidRPr="00001C08" w:rsidRDefault="00001C08" w:rsidP="00001C08">
      <w:pPr>
        <w:pStyle w:val="ListParagraph"/>
        <w:widowControl w:val="0"/>
        <w:numPr>
          <w:ilvl w:val="0"/>
          <w:numId w:val="22"/>
        </w:numPr>
        <w:autoSpaceDE w:val="0"/>
        <w:autoSpaceDN w:val="0"/>
        <w:adjustRightInd w:val="0"/>
      </w:pPr>
      <w:r w:rsidRPr="00001C08">
        <w:rPr>
          <w:b/>
          <w:bCs/>
        </w:rPr>
        <w:t xml:space="preserve">Relate </w:t>
      </w:r>
      <w:r w:rsidRPr="00001C08">
        <w:t>the experience to the constant knowledge updates and to the thorough preparation during training and the thereupon successful performance in Antarctic latitudes.</w:t>
      </w:r>
    </w:p>
    <w:p w:rsidR="00001C08" w:rsidRPr="00001C08" w:rsidRDefault="00001C08" w:rsidP="00001C08">
      <w:pPr>
        <w:widowControl w:val="0"/>
        <w:autoSpaceDE w:val="0"/>
        <w:autoSpaceDN w:val="0"/>
        <w:adjustRightInd w:val="0"/>
      </w:pPr>
    </w:p>
    <w:p w:rsidR="00001C08" w:rsidRPr="00001C08" w:rsidRDefault="00001C08" w:rsidP="00001C08">
      <w:pPr>
        <w:pStyle w:val="ListParagraph"/>
        <w:widowControl w:val="0"/>
        <w:numPr>
          <w:ilvl w:val="0"/>
          <w:numId w:val="22"/>
        </w:numPr>
        <w:autoSpaceDE w:val="0"/>
        <w:autoSpaceDN w:val="0"/>
        <w:adjustRightInd w:val="0"/>
      </w:pPr>
      <w:r w:rsidRPr="00001C08">
        <w:rPr>
          <w:b/>
          <w:bCs/>
        </w:rPr>
        <w:t xml:space="preserve">Appreciate </w:t>
      </w:r>
      <w:r w:rsidRPr="00001C08">
        <w:t>the complex, harsh, unpredictable and severe Antarctic climate, as well as the impending need to protect it under strict codes of conduct of greater demand than those imposed in any other area of the globe.</w:t>
      </w:r>
    </w:p>
    <w:p w:rsidR="00001C08" w:rsidRDefault="00001C08" w:rsidP="00001C08">
      <w:pPr>
        <w:pStyle w:val="BodyText"/>
      </w:pPr>
    </w:p>
    <w:p w:rsidR="00001C08" w:rsidRPr="00FE1D31" w:rsidRDefault="00001C08" w:rsidP="00001C08">
      <w:pPr>
        <w:pStyle w:val="Heading1"/>
      </w:pPr>
      <w:r w:rsidRPr="00FE1D31">
        <w:lastRenderedPageBreak/>
        <w:t>OVERVIEW OF ITS CREATION AND EVOLUTION</w:t>
      </w:r>
    </w:p>
    <w:p w:rsidR="00001C08" w:rsidRPr="00FE1D31" w:rsidRDefault="00001C08" w:rsidP="00001C08">
      <w:pPr>
        <w:pStyle w:val="Heading2"/>
      </w:pPr>
      <w:r w:rsidRPr="00FE1D31">
        <w:t>C</w:t>
      </w:r>
      <w:r>
        <w:t>reation</w:t>
      </w:r>
    </w:p>
    <w:p w:rsidR="00001C08" w:rsidRPr="005E13A9" w:rsidRDefault="00001C08" w:rsidP="00001C08">
      <w:pPr>
        <w:widowControl w:val="0"/>
        <w:autoSpaceDE w:val="0"/>
        <w:autoSpaceDN w:val="0"/>
        <w:adjustRightInd w:val="0"/>
      </w:pPr>
      <w:r w:rsidRPr="005E13A9">
        <w:t>It started out as an endeavour of the Argentine Representative before the Sea Ice Working Group of the Commission for Marine Meteorology of the WMO, back in 1990, proposing specific activities for the members to acquire in their country of origin, a wider knowledge of sea ice.</w:t>
      </w:r>
    </w:p>
    <w:p w:rsidR="00001C08" w:rsidRDefault="00001C08" w:rsidP="00001C08">
      <w:pPr>
        <w:pStyle w:val="Heading2"/>
      </w:pPr>
      <w:r w:rsidRPr="00FE1D31">
        <w:t>P</w:t>
      </w:r>
      <w:r>
        <w:t>rogramme</w:t>
      </w:r>
    </w:p>
    <w:p w:rsidR="00001C08" w:rsidRPr="005E13A9" w:rsidRDefault="00001C08" w:rsidP="00001C08">
      <w:pPr>
        <w:widowControl w:val="0"/>
        <w:autoSpaceDE w:val="0"/>
        <w:autoSpaceDN w:val="0"/>
        <w:adjustRightInd w:val="0"/>
      </w:pPr>
      <w:r w:rsidRPr="005E13A9">
        <w:t>It started with 5 class days: focused principally on Ice and Meteorology.</w:t>
      </w:r>
    </w:p>
    <w:p w:rsidR="00001C08" w:rsidRDefault="00001C08" w:rsidP="00001C08">
      <w:pPr>
        <w:widowControl w:val="0"/>
        <w:autoSpaceDE w:val="0"/>
        <w:autoSpaceDN w:val="0"/>
        <w:adjustRightInd w:val="0"/>
      </w:pPr>
    </w:p>
    <w:p w:rsidR="00001C08" w:rsidRPr="005E13A9" w:rsidRDefault="00001C08" w:rsidP="00001C08">
      <w:pPr>
        <w:widowControl w:val="0"/>
        <w:autoSpaceDE w:val="0"/>
        <w:autoSpaceDN w:val="0"/>
        <w:adjustRightInd w:val="0"/>
        <w:rPr>
          <w:i/>
          <w:iCs/>
        </w:rPr>
      </w:pPr>
      <w:r w:rsidRPr="005E13A9">
        <w:t xml:space="preserve">Since 1994 it has been extended to 2 weeks, from 9 am to 5:35 pm. adding in 37 different classes to the syllabus, some of which may be changed along the way, and which are grouped into seven topic fields: </w:t>
      </w:r>
      <w:r w:rsidRPr="005E13A9">
        <w:rPr>
          <w:i/>
          <w:iCs/>
        </w:rPr>
        <w:t>Antarctic Environment, Ecology, Marine Pollution, Foreign Affairs and Antarctic Legislation, Navigation an</w:t>
      </w:r>
      <w:r>
        <w:rPr>
          <w:i/>
          <w:iCs/>
        </w:rPr>
        <w:t>d</w:t>
      </w:r>
      <w:r w:rsidRPr="005E13A9">
        <w:rPr>
          <w:i/>
          <w:iCs/>
        </w:rPr>
        <w:t xml:space="preserve"> Maritime Security, Recent Nautical and Commanding Experience, Survival.</w:t>
      </w:r>
    </w:p>
    <w:p w:rsidR="00001C08" w:rsidRDefault="00001C08" w:rsidP="00001C08">
      <w:pPr>
        <w:widowControl w:val="0"/>
        <w:autoSpaceDE w:val="0"/>
        <w:autoSpaceDN w:val="0"/>
        <w:adjustRightInd w:val="0"/>
      </w:pPr>
    </w:p>
    <w:p w:rsidR="00001C08" w:rsidRPr="005E13A9" w:rsidRDefault="00001C08" w:rsidP="00001C08">
      <w:pPr>
        <w:widowControl w:val="0"/>
        <w:autoSpaceDE w:val="0"/>
        <w:autoSpaceDN w:val="0"/>
        <w:adjustRightInd w:val="0"/>
      </w:pPr>
      <w:r w:rsidRPr="005E13A9">
        <w:t xml:space="preserve">The programmes have varied from year to year due to the evolution of activities in the area, the changes in legislation and fresh knowledge of the Antarctic. </w:t>
      </w:r>
    </w:p>
    <w:p w:rsidR="00001C08" w:rsidRDefault="00001C08" w:rsidP="00001C08">
      <w:pPr>
        <w:widowControl w:val="0"/>
        <w:autoSpaceDE w:val="0"/>
        <w:autoSpaceDN w:val="0"/>
        <w:adjustRightInd w:val="0"/>
      </w:pPr>
    </w:p>
    <w:p w:rsidR="00001C08" w:rsidRDefault="00001C08" w:rsidP="00001C08">
      <w:pPr>
        <w:widowControl w:val="0"/>
        <w:autoSpaceDE w:val="0"/>
        <w:autoSpaceDN w:val="0"/>
        <w:adjustRightInd w:val="0"/>
      </w:pPr>
      <w:r w:rsidRPr="005E13A9">
        <w:t xml:space="preserve">In 2007 two presentations were included: "Antarctic Tourism" and "Operations with Tour Ships" as a response to the increasing wave of Antarctic Tourism. </w:t>
      </w:r>
      <w:proofErr w:type="gramStart"/>
      <w:r w:rsidRPr="005E13A9">
        <w:t>(Regulated by IAATO).</w:t>
      </w:r>
      <w:proofErr w:type="gramEnd"/>
    </w:p>
    <w:p w:rsidR="00F55284" w:rsidRDefault="00F55284" w:rsidP="00001C08">
      <w:pPr>
        <w:widowControl w:val="0"/>
        <w:autoSpaceDE w:val="0"/>
        <w:autoSpaceDN w:val="0"/>
        <w:adjustRightInd w:val="0"/>
      </w:pPr>
    </w:p>
    <w:p w:rsidR="00F55284" w:rsidRPr="005E13A9" w:rsidRDefault="00F55284" w:rsidP="00001C08">
      <w:pPr>
        <w:widowControl w:val="0"/>
        <w:autoSpaceDE w:val="0"/>
        <w:autoSpaceDN w:val="0"/>
        <w:adjustRightInd w:val="0"/>
      </w:pPr>
      <w:r>
        <w:t>See ANNEX 1 to view the completely programme.</w:t>
      </w:r>
    </w:p>
    <w:p w:rsidR="00001C08" w:rsidRDefault="00001C08" w:rsidP="00001C08">
      <w:pPr>
        <w:widowControl w:val="0"/>
        <w:autoSpaceDE w:val="0"/>
        <w:autoSpaceDN w:val="0"/>
        <w:adjustRightInd w:val="0"/>
        <w:rPr>
          <w:b/>
          <w:bCs/>
        </w:rPr>
      </w:pPr>
    </w:p>
    <w:p w:rsidR="00001C08" w:rsidRPr="00FE1D31" w:rsidRDefault="00001C08" w:rsidP="00001C08">
      <w:pPr>
        <w:pStyle w:val="Heading2"/>
        <w:rPr>
          <w:bCs/>
        </w:rPr>
      </w:pPr>
      <w:r w:rsidRPr="00FE1D31">
        <w:t>P</w:t>
      </w:r>
      <w:r>
        <w:t>resenters</w:t>
      </w:r>
    </w:p>
    <w:p w:rsidR="00001C08" w:rsidRPr="005E13A9" w:rsidRDefault="00001C08" w:rsidP="00001C08">
      <w:pPr>
        <w:widowControl w:val="0"/>
        <w:autoSpaceDE w:val="0"/>
        <w:autoSpaceDN w:val="0"/>
        <w:adjustRightInd w:val="0"/>
      </w:pPr>
      <w:r w:rsidRPr="005E13A9">
        <w:t xml:space="preserve">Around 30 </w:t>
      </w:r>
      <w:r>
        <w:t>every free pay</w:t>
      </w:r>
      <w:proofErr w:type="gramStart"/>
      <w:r w:rsidRPr="005E13A9">
        <w:t xml:space="preserve">. </w:t>
      </w:r>
      <w:proofErr w:type="gramEnd"/>
      <w:r w:rsidRPr="005E13A9">
        <w:t>From:  The Argentine Foreign Office, DNA, IAA, the Antarctic Commando unit of the Argentine Army; from de ARCH, the ARA and random military and merchant students (Australia, New Zealand, USA and the Royal Navy of the United Kingdom).</w:t>
      </w:r>
    </w:p>
    <w:p w:rsidR="00001C08" w:rsidRDefault="00001C08" w:rsidP="00001C08">
      <w:pPr>
        <w:widowControl w:val="0"/>
        <w:autoSpaceDE w:val="0"/>
        <w:autoSpaceDN w:val="0"/>
        <w:adjustRightInd w:val="0"/>
        <w:rPr>
          <w:b/>
          <w:bCs/>
        </w:rPr>
      </w:pPr>
    </w:p>
    <w:p w:rsidR="00001C08" w:rsidRPr="00D83F76" w:rsidRDefault="00001C08" w:rsidP="00001C08">
      <w:pPr>
        <w:pStyle w:val="Heading2"/>
      </w:pPr>
      <w:r w:rsidRPr="00D83F76">
        <w:t xml:space="preserve">Foreign </w:t>
      </w:r>
      <w:proofErr w:type="spellStart"/>
      <w:r w:rsidRPr="00D83F76">
        <w:t>Assitants</w:t>
      </w:r>
      <w:proofErr w:type="spellEnd"/>
    </w:p>
    <w:p w:rsidR="00001C08" w:rsidRDefault="00001C08" w:rsidP="00001C08">
      <w:pPr>
        <w:widowControl w:val="0"/>
        <w:autoSpaceDE w:val="0"/>
        <w:autoSpaceDN w:val="0"/>
        <w:adjustRightInd w:val="0"/>
        <w:rPr>
          <w:b/>
          <w:bCs/>
        </w:rPr>
      </w:pPr>
    </w:p>
    <w:p w:rsidR="00001C08" w:rsidRDefault="00001C08" w:rsidP="00001C08">
      <w:pPr>
        <w:widowControl w:val="0"/>
        <w:autoSpaceDE w:val="0"/>
        <w:autoSpaceDN w:val="0"/>
        <w:adjustRightInd w:val="0"/>
      </w:pPr>
      <w:r w:rsidRPr="005E13A9">
        <w:t>Germany, Australia, Belgium, Bolivia, Brazil, Chile, Korea, Ecuador, Spain, USA, Guatemala, India, Italy, Mexico, Norway, New Zealand, Paraguay, Peru, UK, South Africa, Uruguay, Venezuela and Argentina.</w:t>
      </w:r>
    </w:p>
    <w:p w:rsidR="00001C08" w:rsidRPr="005E13A9" w:rsidRDefault="00001C08" w:rsidP="00001C08">
      <w:pPr>
        <w:widowControl w:val="0"/>
        <w:autoSpaceDE w:val="0"/>
        <w:autoSpaceDN w:val="0"/>
        <w:adjustRightInd w:val="0"/>
      </w:pPr>
    </w:p>
    <w:p w:rsidR="00001C08" w:rsidRPr="00D83F76" w:rsidRDefault="00001C08" w:rsidP="00001C08">
      <w:pPr>
        <w:pStyle w:val="Heading2"/>
      </w:pPr>
      <w:r w:rsidRPr="00D83F76">
        <w:t>N</w:t>
      </w:r>
      <w:r>
        <w:t>umber of students</w:t>
      </w:r>
    </w:p>
    <w:p w:rsidR="00001C08" w:rsidRPr="005E13A9" w:rsidRDefault="00001C08" w:rsidP="00001C08">
      <w:pPr>
        <w:widowControl w:val="0"/>
        <w:autoSpaceDE w:val="0"/>
        <w:autoSpaceDN w:val="0"/>
        <w:adjustRightInd w:val="0"/>
      </w:pPr>
      <w:r>
        <w:t>I</w:t>
      </w:r>
      <w:r w:rsidRPr="005E13A9">
        <w:t>ncluding 2010</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8"/>
        <w:gridCol w:w="1007"/>
        <w:gridCol w:w="1048"/>
        <w:gridCol w:w="1234"/>
        <w:gridCol w:w="1007"/>
        <w:gridCol w:w="1048"/>
        <w:gridCol w:w="1013"/>
        <w:gridCol w:w="919"/>
      </w:tblGrid>
      <w:tr w:rsidR="00001C08" w:rsidRPr="00A7719E" w:rsidTr="007A10FB">
        <w:trPr>
          <w:cantSplit/>
        </w:trPr>
        <w:tc>
          <w:tcPr>
            <w:tcW w:w="2305" w:type="dxa"/>
            <w:gridSpan w:val="2"/>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Foreigners</w:t>
            </w:r>
          </w:p>
        </w:tc>
        <w:tc>
          <w:tcPr>
            <w:tcW w:w="1048" w:type="dxa"/>
            <w:vMerge w:val="restart"/>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Subtotal</w:t>
            </w:r>
          </w:p>
        </w:tc>
        <w:tc>
          <w:tcPr>
            <w:tcW w:w="2241" w:type="dxa"/>
            <w:gridSpan w:val="2"/>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Argentinean</w:t>
            </w:r>
          </w:p>
        </w:tc>
        <w:tc>
          <w:tcPr>
            <w:tcW w:w="1048" w:type="dxa"/>
            <w:vMerge w:val="restart"/>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Subtotal</w:t>
            </w:r>
          </w:p>
        </w:tc>
        <w:tc>
          <w:tcPr>
            <w:tcW w:w="1013" w:type="dxa"/>
            <w:vMerge w:val="restart"/>
          </w:tcPr>
          <w:p w:rsidR="00001C08" w:rsidRPr="00A7719E" w:rsidRDefault="00001C08" w:rsidP="007A10FB">
            <w:pPr>
              <w:tabs>
                <w:tab w:val="left" w:pos="-720"/>
              </w:tabs>
              <w:spacing w:line="240" w:lineRule="atLeast"/>
              <w:jc w:val="both"/>
              <w:rPr>
                <w:rFonts w:cs="Arial"/>
                <w:spacing w:val="-3"/>
                <w:lang w:val="en-US"/>
              </w:rPr>
            </w:pPr>
            <w:r w:rsidRPr="00A7719E">
              <w:rPr>
                <w:rFonts w:cs="Arial"/>
                <w:spacing w:val="-3"/>
                <w:lang w:val="en-US"/>
              </w:rPr>
              <w:t>Listeners</w:t>
            </w:r>
          </w:p>
        </w:tc>
        <w:tc>
          <w:tcPr>
            <w:tcW w:w="919" w:type="dxa"/>
            <w:vMerge w:val="restart"/>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Total</w:t>
            </w:r>
          </w:p>
        </w:tc>
      </w:tr>
      <w:tr w:rsidR="00001C08" w:rsidRPr="00A7719E" w:rsidTr="007A10FB">
        <w:trPr>
          <w:cantSplit/>
        </w:trPr>
        <w:tc>
          <w:tcPr>
            <w:tcW w:w="1298" w:type="dxa"/>
          </w:tcPr>
          <w:p w:rsidR="00001C08" w:rsidRPr="00A7719E" w:rsidRDefault="00001C08" w:rsidP="007A10FB">
            <w:pPr>
              <w:tabs>
                <w:tab w:val="left" w:pos="-720"/>
              </w:tabs>
              <w:spacing w:line="240" w:lineRule="atLeast"/>
              <w:jc w:val="both"/>
              <w:rPr>
                <w:rFonts w:cs="Arial"/>
                <w:spacing w:val="-3"/>
                <w:lang w:val="en-US"/>
              </w:rPr>
            </w:pPr>
            <w:r w:rsidRPr="00A7719E">
              <w:rPr>
                <w:rFonts w:cs="Arial"/>
                <w:spacing w:val="-3"/>
                <w:lang w:val="en-US"/>
              </w:rPr>
              <w:t>Merchants</w:t>
            </w:r>
          </w:p>
        </w:tc>
        <w:tc>
          <w:tcPr>
            <w:tcW w:w="1007" w:type="dxa"/>
          </w:tcPr>
          <w:p w:rsidR="00001C08" w:rsidRPr="00A7719E" w:rsidRDefault="00001C08" w:rsidP="007A10FB">
            <w:pPr>
              <w:tabs>
                <w:tab w:val="left" w:pos="-720"/>
              </w:tabs>
              <w:spacing w:line="240" w:lineRule="atLeast"/>
              <w:jc w:val="both"/>
              <w:rPr>
                <w:rFonts w:cs="Arial"/>
                <w:spacing w:val="-3"/>
                <w:lang w:val="en-US"/>
              </w:rPr>
            </w:pPr>
            <w:r w:rsidRPr="00A7719E">
              <w:rPr>
                <w:rFonts w:cs="Arial"/>
                <w:spacing w:val="-3"/>
                <w:lang w:val="en-US"/>
              </w:rPr>
              <w:t>Military</w:t>
            </w:r>
          </w:p>
        </w:tc>
        <w:tc>
          <w:tcPr>
            <w:tcW w:w="1048" w:type="dxa"/>
            <w:vMerge/>
          </w:tcPr>
          <w:p w:rsidR="00001C08" w:rsidRPr="00A7719E" w:rsidRDefault="00001C08" w:rsidP="007A10FB">
            <w:pPr>
              <w:tabs>
                <w:tab w:val="left" w:pos="-720"/>
              </w:tabs>
              <w:spacing w:line="240" w:lineRule="atLeast"/>
              <w:jc w:val="both"/>
              <w:rPr>
                <w:rFonts w:cs="Arial"/>
                <w:spacing w:val="-3"/>
                <w:lang w:val="en-US"/>
              </w:rPr>
            </w:pPr>
          </w:p>
        </w:tc>
        <w:tc>
          <w:tcPr>
            <w:tcW w:w="1234" w:type="dxa"/>
          </w:tcPr>
          <w:p w:rsidR="00001C08" w:rsidRPr="00A7719E" w:rsidRDefault="00001C08" w:rsidP="007A10FB">
            <w:pPr>
              <w:tabs>
                <w:tab w:val="left" w:pos="-720"/>
              </w:tabs>
              <w:spacing w:line="240" w:lineRule="atLeast"/>
              <w:jc w:val="both"/>
              <w:rPr>
                <w:rFonts w:cs="Arial"/>
                <w:spacing w:val="-3"/>
                <w:lang w:val="en-US"/>
              </w:rPr>
            </w:pPr>
            <w:proofErr w:type="spellStart"/>
            <w:r w:rsidRPr="00A7719E">
              <w:rPr>
                <w:rFonts w:cs="Arial"/>
                <w:spacing w:val="-3"/>
                <w:lang w:val="en-US"/>
              </w:rPr>
              <w:t>Mercantes</w:t>
            </w:r>
            <w:proofErr w:type="spellEnd"/>
          </w:p>
        </w:tc>
        <w:tc>
          <w:tcPr>
            <w:tcW w:w="1007" w:type="dxa"/>
          </w:tcPr>
          <w:p w:rsidR="00001C08" w:rsidRPr="00A7719E" w:rsidRDefault="00001C08" w:rsidP="007A10FB">
            <w:pPr>
              <w:tabs>
                <w:tab w:val="left" w:pos="-720"/>
              </w:tabs>
              <w:spacing w:line="240" w:lineRule="atLeast"/>
              <w:jc w:val="both"/>
              <w:rPr>
                <w:rFonts w:cs="Arial"/>
                <w:spacing w:val="-3"/>
                <w:lang w:val="en-US"/>
              </w:rPr>
            </w:pPr>
            <w:proofErr w:type="spellStart"/>
            <w:r w:rsidRPr="00A7719E">
              <w:rPr>
                <w:rFonts w:cs="Arial"/>
                <w:spacing w:val="-3"/>
                <w:lang w:val="en-US"/>
              </w:rPr>
              <w:t>Militares</w:t>
            </w:r>
            <w:proofErr w:type="spellEnd"/>
          </w:p>
        </w:tc>
        <w:tc>
          <w:tcPr>
            <w:tcW w:w="1048" w:type="dxa"/>
            <w:vMerge/>
          </w:tcPr>
          <w:p w:rsidR="00001C08" w:rsidRPr="00A7719E" w:rsidRDefault="00001C08" w:rsidP="007A10FB">
            <w:pPr>
              <w:tabs>
                <w:tab w:val="left" w:pos="-720"/>
              </w:tabs>
              <w:spacing w:line="240" w:lineRule="atLeast"/>
              <w:jc w:val="both"/>
              <w:rPr>
                <w:rFonts w:cs="Arial"/>
                <w:spacing w:val="-3"/>
                <w:lang w:val="en-US"/>
              </w:rPr>
            </w:pPr>
          </w:p>
        </w:tc>
        <w:tc>
          <w:tcPr>
            <w:tcW w:w="1013" w:type="dxa"/>
            <w:vMerge/>
          </w:tcPr>
          <w:p w:rsidR="00001C08" w:rsidRPr="00A7719E" w:rsidRDefault="00001C08" w:rsidP="007A10FB">
            <w:pPr>
              <w:tabs>
                <w:tab w:val="left" w:pos="-720"/>
              </w:tabs>
              <w:spacing w:line="240" w:lineRule="atLeast"/>
              <w:jc w:val="both"/>
              <w:rPr>
                <w:rFonts w:cs="Arial"/>
                <w:spacing w:val="-3"/>
                <w:lang w:val="en-US"/>
              </w:rPr>
            </w:pPr>
          </w:p>
        </w:tc>
        <w:tc>
          <w:tcPr>
            <w:tcW w:w="919" w:type="dxa"/>
            <w:vMerge/>
          </w:tcPr>
          <w:p w:rsidR="00001C08" w:rsidRPr="00A7719E" w:rsidRDefault="00001C08" w:rsidP="007A10FB">
            <w:pPr>
              <w:tabs>
                <w:tab w:val="left" w:pos="-720"/>
              </w:tabs>
              <w:spacing w:line="240" w:lineRule="atLeast"/>
              <w:jc w:val="both"/>
              <w:rPr>
                <w:rFonts w:cs="Arial"/>
                <w:spacing w:val="-3"/>
                <w:lang w:val="en-US"/>
              </w:rPr>
            </w:pPr>
          </w:p>
        </w:tc>
      </w:tr>
      <w:tr w:rsidR="00001C08" w:rsidRPr="00A7719E" w:rsidTr="007A10FB">
        <w:tc>
          <w:tcPr>
            <w:tcW w:w="1298" w:type="dxa"/>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18</w:t>
            </w:r>
          </w:p>
        </w:tc>
        <w:tc>
          <w:tcPr>
            <w:tcW w:w="1007" w:type="dxa"/>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162</w:t>
            </w:r>
          </w:p>
        </w:tc>
        <w:tc>
          <w:tcPr>
            <w:tcW w:w="1048" w:type="dxa"/>
            <w:vAlign w:val="center"/>
          </w:tcPr>
          <w:p w:rsidR="00001C08" w:rsidRPr="00A7719E" w:rsidRDefault="00001C08" w:rsidP="007A10FB">
            <w:pPr>
              <w:tabs>
                <w:tab w:val="left" w:pos="-720"/>
              </w:tabs>
              <w:spacing w:line="240" w:lineRule="atLeast"/>
              <w:jc w:val="center"/>
              <w:rPr>
                <w:rFonts w:cs="Arial"/>
                <w:b/>
                <w:bCs/>
                <w:spacing w:val="-3"/>
                <w:lang w:val="en-US"/>
              </w:rPr>
            </w:pPr>
            <w:r w:rsidRPr="00A7719E">
              <w:rPr>
                <w:rFonts w:cs="Arial"/>
                <w:b/>
                <w:bCs/>
                <w:spacing w:val="-3"/>
                <w:lang w:val="en-US"/>
              </w:rPr>
              <w:t>180</w:t>
            </w:r>
          </w:p>
        </w:tc>
        <w:tc>
          <w:tcPr>
            <w:tcW w:w="1234" w:type="dxa"/>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120</w:t>
            </w:r>
          </w:p>
        </w:tc>
        <w:tc>
          <w:tcPr>
            <w:tcW w:w="1007" w:type="dxa"/>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376</w:t>
            </w:r>
          </w:p>
        </w:tc>
        <w:tc>
          <w:tcPr>
            <w:tcW w:w="1048" w:type="dxa"/>
            <w:vAlign w:val="center"/>
          </w:tcPr>
          <w:p w:rsidR="00001C08" w:rsidRPr="00A7719E" w:rsidRDefault="00001C08" w:rsidP="007A10FB">
            <w:pPr>
              <w:tabs>
                <w:tab w:val="left" w:pos="-720"/>
              </w:tabs>
              <w:spacing w:line="240" w:lineRule="atLeast"/>
              <w:jc w:val="center"/>
              <w:rPr>
                <w:rFonts w:cs="Arial"/>
                <w:b/>
                <w:bCs/>
                <w:spacing w:val="-3"/>
                <w:lang w:val="en-US"/>
              </w:rPr>
            </w:pPr>
            <w:r w:rsidRPr="00A7719E">
              <w:rPr>
                <w:rFonts w:cs="Arial"/>
                <w:b/>
                <w:bCs/>
                <w:spacing w:val="-3"/>
                <w:lang w:val="en-US"/>
              </w:rPr>
              <w:t>496</w:t>
            </w:r>
          </w:p>
        </w:tc>
        <w:tc>
          <w:tcPr>
            <w:tcW w:w="1013" w:type="dxa"/>
            <w:vAlign w:val="center"/>
          </w:tcPr>
          <w:p w:rsidR="00001C08" w:rsidRPr="00A7719E" w:rsidRDefault="00001C08" w:rsidP="007A10FB">
            <w:pPr>
              <w:tabs>
                <w:tab w:val="left" w:pos="-720"/>
              </w:tabs>
              <w:spacing w:line="240" w:lineRule="atLeast"/>
              <w:jc w:val="center"/>
              <w:rPr>
                <w:rFonts w:cs="Arial"/>
                <w:spacing w:val="-3"/>
                <w:lang w:val="en-US"/>
              </w:rPr>
            </w:pPr>
            <w:r w:rsidRPr="00A7719E">
              <w:rPr>
                <w:rFonts w:cs="Arial"/>
                <w:spacing w:val="-3"/>
                <w:lang w:val="en-US"/>
              </w:rPr>
              <w:t>14</w:t>
            </w:r>
          </w:p>
        </w:tc>
        <w:tc>
          <w:tcPr>
            <w:tcW w:w="919" w:type="dxa"/>
            <w:vAlign w:val="center"/>
          </w:tcPr>
          <w:p w:rsidR="00001C08" w:rsidRPr="00A7719E" w:rsidRDefault="00001C08" w:rsidP="007A10FB">
            <w:pPr>
              <w:tabs>
                <w:tab w:val="left" w:pos="-720"/>
              </w:tabs>
              <w:spacing w:line="240" w:lineRule="atLeast"/>
              <w:jc w:val="center"/>
              <w:rPr>
                <w:rFonts w:cs="Arial"/>
                <w:b/>
                <w:bCs/>
                <w:spacing w:val="-3"/>
                <w:lang w:val="en-US"/>
              </w:rPr>
            </w:pPr>
            <w:r w:rsidRPr="00A7719E">
              <w:rPr>
                <w:rFonts w:cs="Arial"/>
                <w:b/>
                <w:bCs/>
                <w:spacing w:val="-3"/>
                <w:lang w:val="en-US"/>
              </w:rPr>
              <w:t>690</w:t>
            </w:r>
          </w:p>
        </w:tc>
      </w:tr>
    </w:tbl>
    <w:p w:rsidR="00001C08" w:rsidRDefault="00B0392B" w:rsidP="00001C08">
      <w:pPr>
        <w:widowControl w:val="0"/>
        <w:autoSpaceDE w:val="0"/>
        <w:autoSpaceDN w:val="0"/>
        <w:adjustRightInd w:val="0"/>
      </w:pPr>
      <w:r>
        <w:rPr>
          <w:rFonts w:cs="Times New Roman"/>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2pt;margin-top:-7.65pt;width:469.45pt;height:27.6pt;z-index:251658240;mso-position-horizontal-relative:text;mso-position-vertical-relative:text" o:bwpure="highContrast" o:bwnormal="blackTextAndLines">
            <v:imagedata r:id="rId9" o:title=""/>
          </v:shape>
          <o:OLEObject Type="Embed" ProgID="Word.Document.8" ShapeID="_x0000_s1027" DrawAspect="Content" ObjectID="_1378525109" r:id="rId10">
            <o:FieldCodes>\s</o:FieldCodes>
          </o:OLEObject>
        </w:pict>
      </w:r>
    </w:p>
    <w:p w:rsidR="00001C08" w:rsidRDefault="00001C08" w:rsidP="00001C08">
      <w:pPr>
        <w:widowControl w:val="0"/>
        <w:autoSpaceDE w:val="0"/>
        <w:autoSpaceDN w:val="0"/>
        <w:adjustRightInd w:val="0"/>
        <w:rPr>
          <w:b/>
          <w:bCs/>
        </w:rPr>
      </w:pPr>
    </w:p>
    <w:p w:rsidR="00001C08" w:rsidRPr="00D83F76" w:rsidRDefault="00001C08" w:rsidP="00001C08">
      <w:pPr>
        <w:pStyle w:val="Heading2"/>
      </w:pPr>
      <w:r w:rsidRPr="00D83F76">
        <w:t>A</w:t>
      </w:r>
      <w:r>
        <w:t>cademic</w:t>
      </w:r>
      <w:r w:rsidRPr="00D83F76">
        <w:t xml:space="preserve"> P</w:t>
      </w:r>
      <w:r>
        <w:t>erformance</w:t>
      </w:r>
    </w:p>
    <w:p w:rsidR="00001C08" w:rsidRPr="00C73E7F" w:rsidRDefault="00001C08" w:rsidP="00001C08">
      <w:pPr>
        <w:widowControl w:val="0"/>
        <w:autoSpaceDE w:val="0"/>
        <w:autoSpaceDN w:val="0"/>
        <w:adjustRightInd w:val="0"/>
      </w:pPr>
      <w:r w:rsidRPr="00C73E7F">
        <w:t xml:space="preserve">It embraces numerous Argentine </w:t>
      </w:r>
      <w:r>
        <w:t>professionals specialized in An</w:t>
      </w:r>
      <w:r w:rsidRPr="00C73E7F">
        <w:t>tar</w:t>
      </w:r>
      <w:r>
        <w:t>c</w:t>
      </w:r>
      <w:r w:rsidRPr="00C73E7F">
        <w:t>tic matters.</w:t>
      </w:r>
    </w:p>
    <w:p w:rsidR="00001C08" w:rsidRPr="00C73E7F" w:rsidRDefault="00001C08" w:rsidP="00001C08">
      <w:pPr>
        <w:widowControl w:val="0"/>
        <w:autoSpaceDE w:val="0"/>
        <w:autoSpaceDN w:val="0"/>
        <w:adjustRightInd w:val="0"/>
      </w:pPr>
      <w:r w:rsidRPr="00C73E7F">
        <w:t>Every subject features contents that conveniently outline the Argentine Antarctic potential but need further improvement and consolidation (guideline</w:t>
      </w:r>
      <w:r>
        <w:t>s</w:t>
      </w:r>
      <w:r w:rsidRPr="00C73E7F">
        <w:t xml:space="preserve"> pertaining to bridge officers and bibliography translated into English)</w:t>
      </w:r>
    </w:p>
    <w:p w:rsidR="00737550" w:rsidRDefault="00737550" w:rsidP="00737550">
      <w:pPr>
        <w:pStyle w:val="Heading1"/>
      </w:pPr>
      <w:r>
        <w:t>Background</w:t>
      </w:r>
    </w:p>
    <w:p w:rsidR="00737550" w:rsidRPr="00737550" w:rsidRDefault="00737550" w:rsidP="00737550">
      <w:pPr>
        <w:pStyle w:val="Heading2"/>
      </w:pPr>
      <w:r w:rsidRPr="00737550">
        <w:t>21st Course in Antarctic Navigation 2010</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71"/>
        <w:gridCol w:w="7287"/>
        <w:gridCol w:w="2134"/>
      </w:tblGrid>
      <w:tr w:rsidR="00737550" w:rsidRPr="009B2166" w:rsidTr="00737550">
        <w:trPr>
          <w:tblCellSpacing w:w="22" w:type="dxa"/>
        </w:trPr>
        <w:tc>
          <w:tcPr>
            <w:tcW w:w="4954" w:type="pct"/>
            <w:gridSpan w:val="3"/>
            <w:vAlign w:val="center"/>
          </w:tcPr>
          <w:p w:rsidR="00737550" w:rsidRPr="00453414" w:rsidRDefault="00737550" w:rsidP="00737550">
            <w:pPr>
              <w:spacing w:before="100" w:beforeAutospacing="1" w:after="100" w:afterAutospacing="1"/>
              <w:jc w:val="both"/>
              <w:rPr>
                <w:rFonts w:cs="Arial"/>
                <w:lang w:val="en-US" w:eastAsia="es-ES"/>
              </w:rPr>
            </w:pPr>
            <w:r>
              <w:rPr>
                <w:rFonts w:cs="Arial"/>
                <w:lang w:val="en-US" w:eastAsia="es-ES"/>
              </w:rPr>
              <w:t xml:space="preserve">The </w:t>
            </w:r>
            <w:smartTag w:uri="urn:schemas-microsoft-com:office:smarttags" w:element="place">
              <w:smartTag w:uri="urn:schemas-microsoft-com:office:smarttags" w:element="PlaceType">
                <w:r>
                  <w:rPr>
                    <w:rFonts w:cs="Arial"/>
                    <w:lang w:val="en-US" w:eastAsia="es-ES"/>
                  </w:rPr>
                  <w:t>School</w:t>
                </w:r>
              </w:smartTag>
              <w:r>
                <w:rPr>
                  <w:rFonts w:cs="Arial"/>
                  <w:lang w:val="en-US" w:eastAsia="es-ES"/>
                </w:rPr>
                <w:t xml:space="preserve"> of </w:t>
              </w:r>
              <w:smartTag w:uri="urn:schemas-microsoft-com:office:smarttags" w:element="PlaceName">
                <w:r>
                  <w:rPr>
                    <w:rFonts w:cs="Arial"/>
                    <w:lang w:val="en-US" w:eastAsia="es-ES"/>
                  </w:rPr>
                  <w:t>Maritime Sciences</w:t>
                </w:r>
              </w:smartTag>
            </w:smartTag>
            <w:r>
              <w:rPr>
                <w:rFonts w:cs="Arial"/>
                <w:lang w:val="en-US" w:eastAsia="es-ES"/>
              </w:rPr>
              <w:t xml:space="preserve">, </w:t>
            </w:r>
            <w:r w:rsidRPr="00453414">
              <w:rPr>
                <w:rFonts w:cs="Arial"/>
                <w:lang w:val="en-US" w:eastAsia="es-ES"/>
              </w:rPr>
              <w:t>answerable to the Naval Education Bureau</w:t>
            </w:r>
            <w:r>
              <w:rPr>
                <w:rFonts w:cs="Arial"/>
                <w:lang w:val="en-US" w:eastAsia="es-ES"/>
              </w:rPr>
              <w:t>,</w:t>
            </w:r>
            <w:r w:rsidRPr="00453414">
              <w:rPr>
                <w:rFonts w:cs="Arial"/>
                <w:lang w:val="en-US" w:eastAsia="es-ES"/>
              </w:rPr>
              <w:t xml:space="preserve"> Naval developed </w:t>
            </w:r>
            <w:r w:rsidRPr="00453414">
              <w:rPr>
                <w:rFonts w:cs="Arial"/>
                <w:lang w:val="en-US" w:eastAsia="es-ES"/>
              </w:rPr>
              <w:lastRenderedPageBreak/>
              <w:t xml:space="preserve">the twenty-first course in Antarctic Navigation NAVANTAR between 23 August and </w:t>
            </w:r>
            <w:smartTag w:uri="urn:schemas-microsoft-com:office:smarttags" w:element="date">
              <w:smartTagPr>
                <w:attr w:name="Year" w:val="2010"/>
                <w:attr w:name="Day" w:val="3"/>
                <w:attr w:name="Month" w:val="9"/>
              </w:smartTagPr>
              <w:r w:rsidRPr="00453414">
                <w:rPr>
                  <w:rFonts w:cs="Arial"/>
                  <w:lang w:val="en-US" w:eastAsia="es-ES"/>
                </w:rPr>
                <w:t>03 September 2010</w:t>
              </w:r>
            </w:smartTag>
            <w:r w:rsidRPr="00453414">
              <w:rPr>
                <w:rFonts w:cs="Arial"/>
                <w:lang w:val="en-US" w:eastAsia="es-ES"/>
              </w:rPr>
              <w:t xml:space="preserve">, with </w:t>
            </w:r>
            <w:r>
              <w:rPr>
                <w:rFonts w:cs="Arial"/>
                <w:lang w:val="en-US" w:eastAsia="es-ES"/>
              </w:rPr>
              <w:t xml:space="preserve">Spanish to English </w:t>
            </w:r>
            <w:r w:rsidRPr="00453414">
              <w:rPr>
                <w:rFonts w:cs="Arial"/>
                <w:lang w:val="en-US" w:eastAsia="es-ES"/>
              </w:rPr>
              <w:t>simultaneous interpretation</w:t>
            </w:r>
            <w:r>
              <w:rPr>
                <w:rFonts w:cs="Arial"/>
                <w:lang w:val="en-US" w:eastAsia="es-ES"/>
              </w:rPr>
              <w:t xml:space="preserve">, held in </w:t>
            </w:r>
            <w:r w:rsidRPr="00453414">
              <w:rPr>
                <w:rFonts w:cs="Arial"/>
                <w:lang w:val="en-US" w:eastAsia="es-ES"/>
              </w:rPr>
              <w:t>“MANUEL BELGRANO”</w:t>
            </w:r>
            <w:r>
              <w:rPr>
                <w:rFonts w:cs="Arial"/>
                <w:lang w:val="en-US" w:eastAsia="es-ES"/>
              </w:rPr>
              <w:t xml:space="preserve"> public naval school, with the assistance of civil and military professionals from the maritime sector</w:t>
            </w:r>
            <w:r w:rsidRPr="00453414">
              <w:rPr>
                <w:rFonts w:cs="Arial"/>
                <w:lang w:val="en-US" w:eastAsia="es-ES"/>
              </w:rPr>
              <w:t>.</w:t>
            </w:r>
          </w:p>
        </w:tc>
      </w:tr>
      <w:tr w:rsidR="00737550" w:rsidRPr="003422FA" w:rsidTr="00737550">
        <w:tblPrEx>
          <w:tblCellSpacing w:w="15" w:type="dxa"/>
          <w:tblCellMar>
            <w:top w:w="15" w:type="dxa"/>
            <w:left w:w="15" w:type="dxa"/>
            <w:bottom w:w="15" w:type="dxa"/>
            <w:right w:w="15" w:type="dxa"/>
          </w:tblCellMar>
        </w:tblPrEx>
        <w:trPr>
          <w:gridBefore w:val="1"/>
          <w:gridAfter w:val="1"/>
          <w:wAfter w:w="1103" w:type="pct"/>
          <w:tblCellSpacing w:w="15" w:type="dxa"/>
        </w:trPr>
        <w:tc>
          <w:tcPr>
            <w:tcW w:w="0" w:type="auto"/>
            <w:vAlign w:val="center"/>
          </w:tcPr>
          <w:p w:rsidR="00737550" w:rsidRPr="003422FA" w:rsidRDefault="00737550" w:rsidP="00FB7A21">
            <w:pPr>
              <w:spacing w:before="100" w:beforeAutospacing="1" w:after="100" w:afterAutospacing="1"/>
              <w:jc w:val="center"/>
              <w:rPr>
                <w:rFonts w:cs="Arial"/>
                <w:lang w:val="en-US" w:eastAsia="es-ES"/>
              </w:rPr>
            </w:pPr>
            <w:r>
              <w:rPr>
                <w:rFonts w:cs="Arial"/>
                <w:noProof/>
              </w:rPr>
              <w:lastRenderedPageBreak/>
              <w:drawing>
                <wp:inline distT="0" distB="0" distL="0" distR="0">
                  <wp:extent cx="4561205" cy="3030220"/>
                  <wp:effectExtent l="19050" t="0" r="0" b="0"/>
                  <wp:docPr id="10" name="Imagen 1" descr="http://www.escm.edu.ar/Images/Noticias/N2010/Alum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escm.edu.ar/Images/Noticias/N2010/Alumnos.jpg"/>
                          <pic:cNvPicPr>
                            <a:picLocks noChangeAspect="1" noChangeArrowheads="1"/>
                          </pic:cNvPicPr>
                        </pic:nvPicPr>
                        <pic:blipFill>
                          <a:blip r:embed="rId11" cstate="print"/>
                          <a:srcRect/>
                          <a:stretch>
                            <a:fillRect/>
                          </a:stretch>
                        </pic:blipFill>
                        <pic:spPr bwMode="auto">
                          <a:xfrm>
                            <a:off x="0" y="0"/>
                            <a:ext cx="4561205" cy="3030220"/>
                          </a:xfrm>
                          <a:prstGeom prst="rect">
                            <a:avLst/>
                          </a:prstGeom>
                          <a:noFill/>
                          <a:ln w="9525">
                            <a:noFill/>
                            <a:miter lim="800000"/>
                            <a:headEnd/>
                            <a:tailEnd/>
                          </a:ln>
                        </pic:spPr>
                      </pic:pic>
                    </a:graphicData>
                  </a:graphic>
                </wp:inline>
              </w:drawing>
            </w:r>
          </w:p>
        </w:tc>
      </w:tr>
      <w:tr w:rsidR="00737550" w:rsidRPr="003422FA" w:rsidTr="00737550">
        <w:tblPrEx>
          <w:tblCellSpacing w:w="15" w:type="dxa"/>
          <w:tblCellMar>
            <w:top w:w="15" w:type="dxa"/>
            <w:left w:w="15" w:type="dxa"/>
            <w:bottom w:w="15" w:type="dxa"/>
            <w:right w:w="15" w:type="dxa"/>
          </w:tblCellMar>
        </w:tblPrEx>
        <w:trPr>
          <w:gridBefore w:val="1"/>
          <w:gridAfter w:val="1"/>
          <w:wAfter w:w="1103" w:type="pct"/>
          <w:tblCellSpacing w:w="15" w:type="dxa"/>
        </w:trPr>
        <w:tc>
          <w:tcPr>
            <w:tcW w:w="0" w:type="auto"/>
            <w:vAlign w:val="center"/>
          </w:tcPr>
          <w:p w:rsidR="00737550" w:rsidRPr="003422FA" w:rsidRDefault="00737550" w:rsidP="00737550">
            <w:pPr>
              <w:spacing w:before="100" w:beforeAutospacing="1" w:after="100" w:afterAutospacing="1"/>
              <w:jc w:val="center"/>
              <w:rPr>
                <w:rFonts w:cs="Arial"/>
                <w:i/>
                <w:sz w:val="20"/>
                <w:szCs w:val="20"/>
                <w:lang w:val="en-US" w:eastAsia="es-ES"/>
              </w:rPr>
            </w:pPr>
            <w:r>
              <w:rPr>
                <w:rFonts w:cs="Arial"/>
                <w:i/>
                <w:sz w:val="20"/>
                <w:szCs w:val="20"/>
                <w:lang w:val="en-US" w:eastAsia="es-ES"/>
              </w:rPr>
              <w:t>Alumni</w:t>
            </w:r>
          </w:p>
        </w:tc>
      </w:tr>
    </w:tbl>
    <w:p w:rsidR="00737550" w:rsidRDefault="00737550" w:rsidP="00737550">
      <w:pPr>
        <w:pStyle w:val="Heading3"/>
      </w:pPr>
      <w:r w:rsidRPr="00737550">
        <w:t xml:space="preserve">Participants: </w:t>
      </w:r>
    </w:p>
    <w:p w:rsidR="00001C08" w:rsidRDefault="00001C08" w:rsidP="00001C08">
      <w:pPr>
        <w:pStyle w:val="BodyText"/>
        <w:rPr>
          <w:lang w:eastAsia="de-DE"/>
        </w:rPr>
      </w:pPr>
      <w:r>
        <w:rPr>
          <w:lang w:eastAsia="de-DE"/>
        </w:rPr>
        <w:t>•</w:t>
      </w:r>
      <w:r>
        <w:rPr>
          <w:lang w:eastAsia="de-DE"/>
        </w:rPr>
        <w:tab/>
        <w:t>11 foreign Army chiefs and officers from Bolivia, Chile, Ecuador, Spain, India, Italy, Paraguay, South Africa and Uruguay.</w:t>
      </w:r>
    </w:p>
    <w:p w:rsidR="00001C08" w:rsidRDefault="00001C08" w:rsidP="00001C08">
      <w:pPr>
        <w:pStyle w:val="BodyText"/>
        <w:rPr>
          <w:lang w:eastAsia="de-DE"/>
        </w:rPr>
      </w:pPr>
      <w:r>
        <w:rPr>
          <w:lang w:eastAsia="de-DE"/>
        </w:rPr>
        <w:t>•</w:t>
      </w:r>
      <w:r>
        <w:rPr>
          <w:lang w:eastAsia="de-DE"/>
        </w:rPr>
        <w:tab/>
        <w:t>5 Argentine Merchant Mariners.</w:t>
      </w:r>
    </w:p>
    <w:p w:rsidR="00001C08" w:rsidRDefault="00001C08" w:rsidP="00001C08">
      <w:pPr>
        <w:pStyle w:val="BodyText"/>
        <w:rPr>
          <w:lang w:eastAsia="de-DE"/>
        </w:rPr>
      </w:pPr>
      <w:r>
        <w:rPr>
          <w:lang w:eastAsia="de-DE"/>
        </w:rPr>
        <w:t>•</w:t>
      </w:r>
      <w:r>
        <w:rPr>
          <w:lang w:eastAsia="de-DE"/>
        </w:rPr>
        <w:tab/>
        <w:t>29 chiefs and officers of the Argentine Army.</w:t>
      </w:r>
    </w:p>
    <w:p w:rsidR="00001C08" w:rsidRDefault="00001C08" w:rsidP="00001C08">
      <w:pPr>
        <w:pStyle w:val="BodyText"/>
        <w:rPr>
          <w:lang w:eastAsia="de-DE"/>
        </w:rPr>
      </w:pPr>
      <w:r>
        <w:rPr>
          <w:lang w:eastAsia="de-DE"/>
        </w:rPr>
        <w:t>•</w:t>
      </w:r>
      <w:r>
        <w:rPr>
          <w:lang w:eastAsia="de-DE"/>
        </w:rPr>
        <w:tab/>
        <w:t>5 Listeners.</w:t>
      </w:r>
    </w:p>
    <w:p w:rsidR="00001C08" w:rsidRDefault="00001C08" w:rsidP="00001C08">
      <w:pPr>
        <w:pStyle w:val="BodyText"/>
        <w:rPr>
          <w:lang w:eastAsia="de-DE"/>
        </w:rPr>
      </w:pPr>
      <w:r>
        <w:rPr>
          <w:lang w:eastAsia="de-DE"/>
        </w:rPr>
        <w:t>Once again this year we have received the expert collaboration of the Officer in Chief of the Chilean Army, who gave us a thorough account on “Operating an auxiliary ship in the Antarctic Peninsula”.</w:t>
      </w:r>
    </w:p>
    <w:p w:rsidR="00001C08" w:rsidRDefault="00001C08" w:rsidP="00001C08">
      <w:pPr>
        <w:pStyle w:val="BodyText"/>
        <w:rPr>
          <w:lang w:eastAsia="de-DE"/>
        </w:rPr>
      </w:pPr>
      <w:r w:rsidRPr="00001C08">
        <w:rPr>
          <w:noProof/>
        </w:rPr>
        <w:drawing>
          <wp:inline distT="0" distB="0" distL="0" distR="0">
            <wp:extent cx="2860040" cy="2052320"/>
            <wp:effectExtent l="19050" t="0" r="0" b="5080"/>
            <wp:docPr id="4" name="Imagen 3" descr="http://www.escm.edu.ar/Images/Noticias/N2010/Espania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http://www.escm.edu.ar/Images/Noticias/N2010/Espania148.jpg"/>
                    <pic:cNvPicPr>
                      <a:picLocks noChangeAspect="1" noChangeArrowheads="1"/>
                    </pic:cNvPicPr>
                  </pic:nvPicPr>
                  <pic:blipFill>
                    <a:blip r:embed="rId12" cstate="print"/>
                    <a:srcRect/>
                    <a:stretch>
                      <a:fillRect/>
                    </a:stretch>
                  </pic:blipFill>
                  <pic:spPr bwMode="auto">
                    <a:xfrm>
                      <a:off x="0" y="0"/>
                      <a:ext cx="2860040" cy="2052320"/>
                    </a:xfrm>
                    <a:prstGeom prst="rect">
                      <a:avLst/>
                    </a:prstGeom>
                    <a:noFill/>
                    <a:ln w="9525">
                      <a:noFill/>
                      <a:miter lim="800000"/>
                      <a:headEnd/>
                      <a:tailEnd/>
                    </a:ln>
                  </pic:spPr>
                </pic:pic>
              </a:graphicData>
            </a:graphic>
          </wp:inline>
        </w:drawing>
      </w:r>
    </w:p>
    <w:p w:rsidR="00001C08" w:rsidRDefault="00001C08" w:rsidP="00001C08">
      <w:pPr>
        <w:jc w:val="both"/>
        <w:rPr>
          <w:rFonts w:cs="Arial"/>
          <w:i/>
          <w:sz w:val="20"/>
          <w:szCs w:val="20"/>
          <w:lang w:eastAsia="es-ES"/>
        </w:rPr>
      </w:pPr>
      <w:r w:rsidRPr="00001C08">
        <w:rPr>
          <w:rFonts w:cs="Arial"/>
          <w:i/>
          <w:sz w:val="20"/>
          <w:szCs w:val="20"/>
          <w:lang w:eastAsia="es-ES"/>
        </w:rPr>
        <w:t>Some words from the Spanish Army officer</w:t>
      </w:r>
    </w:p>
    <w:p w:rsidR="00001C08" w:rsidRDefault="00001C08" w:rsidP="00001C08">
      <w:pPr>
        <w:jc w:val="both"/>
        <w:rPr>
          <w:lang w:eastAsia="de-DE"/>
        </w:rPr>
      </w:pPr>
    </w:p>
    <w:p w:rsidR="00001C08" w:rsidRDefault="00001C08" w:rsidP="00001C08">
      <w:pPr>
        <w:pStyle w:val="BodyText"/>
        <w:rPr>
          <w:lang w:eastAsia="de-DE"/>
        </w:rPr>
      </w:pPr>
      <w:r>
        <w:rPr>
          <w:lang w:eastAsia="de-DE"/>
        </w:rPr>
        <w:t>Another main target of the course is to offer a clear insight into complexity, harshness and unpredictability of the Antarctic environmental conditions and the impending need to protect it by means of complying with the strictest codes of conduct in the world.</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4746"/>
        <w:gridCol w:w="4746"/>
      </w:tblGrid>
      <w:tr w:rsidR="00737550" w:rsidRPr="009B2166" w:rsidTr="00A643C6">
        <w:trPr>
          <w:tblCellSpacing w:w="22" w:type="dxa"/>
        </w:trPr>
        <w:tc>
          <w:tcPr>
            <w:tcW w:w="0" w:type="auto"/>
            <w:vAlign w:val="center"/>
          </w:tcPr>
          <w:p w:rsidR="00737550" w:rsidRPr="009B2166" w:rsidRDefault="00737550" w:rsidP="00001C08">
            <w:pPr>
              <w:rPr>
                <w:rFonts w:cs="Arial"/>
                <w:lang w:eastAsia="es-ES"/>
              </w:rPr>
            </w:pPr>
          </w:p>
        </w:tc>
        <w:tc>
          <w:tcPr>
            <w:tcW w:w="0" w:type="auto"/>
            <w:vAlign w:val="center"/>
          </w:tcPr>
          <w:p w:rsidR="00737550" w:rsidRPr="009B2166" w:rsidRDefault="00737550" w:rsidP="000F25EC">
            <w:pPr>
              <w:spacing w:before="100" w:beforeAutospacing="1" w:after="100" w:afterAutospacing="1"/>
              <w:jc w:val="both"/>
              <w:rPr>
                <w:rFonts w:cs="Arial"/>
                <w:lang w:eastAsia="es-ES"/>
              </w:rPr>
            </w:pPr>
          </w:p>
        </w:tc>
      </w:tr>
    </w:tbl>
    <w:p w:rsidR="00737550" w:rsidRDefault="00737550" w:rsidP="00737550">
      <w:pPr>
        <w:pStyle w:val="Heading3"/>
      </w:pPr>
      <w:r>
        <w:lastRenderedPageBreak/>
        <w:t>Special focus was placed upon the following:</w:t>
      </w:r>
    </w:p>
    <w:p w:rsidR="00737550" w:rsidRDefault="00737550" w:rsidP="00B60095">
      <w:pPr>
        <w:pStyle w:val="BodyText"/>
        <w:numPr>
          <w:ilvl w:val="0"/>
          <w:numId w:val="22"/>
        </w:numPr>
      </w:pPr>
      <w:r>
        <w:t>Foreign affaire, international law, Antarctic Treaty and Annexed Protocol (MARPOL). Response to spills in the Antarctic region.</w:t>
      </w:r>
    </w:p>
    <w:p w:rsidR="00737550" w:rsidRDefault="00737550" w:rsidP="00B60095">
      <w:pPr>
        <w:pStyle w:val="BodyText"/>
        <w:numPr>
          <w:ilvl w:val="0"/>
          <w:numId w:val="22"/>
        </w:numPr>
      </w:pPr>
      <w:r>
        <w:t>Geology, oceanography, terrestrial glaciology, sea ice and floes, meteorology and Antarctic climatology.</w:t>
      </w:r>
    </w:p>
    <w:p w:rsidR="00737550" w:rsidRDefault="00737550" w:rsidP="00B60095">
      <w:pPr>
        <w:pStyle w:val="BodyText"/>
        <w:numPr>
          <w:ilvl w:val="0"/>
          <w:numId w:val="22"/>
        </w:numPr>
      </w:pPr>
      <w:r>
        <w:t xml:space="preserve">Navigation and maritime security: Operating conventional ships. Classifying icebreakers. Set-up and preparation of icebreakers. Navigation aids. Strengths and weaknesses of radars used in the Antarctic. Operating in soft and hard glacial regions. GPS, the electronic chart and its general facts and uses in high latitudes. Hydrographic survey and mapping in the Antarctic. Icebreakers main features. Operating icebreakers. Operating helicopters from ships in the Antarctic. </w:t>
      </w:r>
    </w:p>
    <w:p w:rsidR="00737550" w:rsidRDefault="00737550" w:rsidP="00B60095">
      <w:pPr>
        <w:pStyle w:val="BodyText"/>
        <w:numPr>
          <w:ilvl w:val="0"/>
          <w:numId w:val="22"/>
        </w:numPr>
      </w:pPr>
      <w:r>
        <w:t>Nautical and commanding experiences: operating auxiliary and research ships. Set-up, planning and advanced management of Antarctic campaign.</w:t>
      </w:r>
    </w:p>
    <w:p w:rsidR="00737550" w:rsidRDefault="00737550" w:rsidP="00B60095">
      <w:pPr>
        <w:pStyle w:val="BodyText"/>
        <w:numPr>
          <w:ilvl w:val="0"/>
          <w:numId w:val="22"/>
        </w:numPr>
      </w:pPr>
      <w:r>
        <w:t>Antarctic survival in land and cold water. Immersion and drift. Hypothermia. First aid in the Antarctic.</w:t>
      </w:r>
    </w:p>
    <w:p w:rsidR="00737550" w:rsidRDefault="00737550" w:rsidP="00B60095">
      <w:pPr>
        <w:pStyle w:val="BodyText"/>
        <w:numPr>
          <w:ilvl w:val="0"/>
          <w:numId w:val="22"/>
        </w:numPr>
      </w:pPr>
      <w:r>
        <w:t>Fauna, environmental protection and preservation of living resources.</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9492"/>
      </w:tblGrid>
      <w:tr w:rsidR="00737550" w:rsidRPr="005258A9" w:rsidTr="00737550">
        <w:trPr>
          <w:tblCellSpacing w:w="22" w:type="dxa"/>
        </w:trPr>
        <w:tc>
          <w:tcPr>
            <w:tcW w:w="0" w:type="auto"/>
            <w:vAlign w:val="center"/>
          </w:tcPr>
          <w:p w:rsidR="00E20C37" w:rsidRPr="00E20C37" w:rsidRDefault="00E20C37" w:rsidP="00E20C37">
            <w:pPr>
              <w:pStyle w:val="Heading3"/>
            </w:pPr>
            <w:r w:rsidRPr="00E20C37">
              <w:t xml:space="preserve">Closure Ceremony </w:t>
            </w:r>
          </w:p>
          <w:p w:rsidR="00737550" w:rsidRPr="005258A9" w:rsidRDefault="00737550" w:rsidP="00737550">
            <w:pPr>
              <w:spacing w:before="100" w:beforeAutospacing="1" w:after="100" w:afterAutospacing="1"/>
              <w:jc w:val="both"/>
              <w:rPr>
                <w:rFonts w:cs="Arial"/>
                <w:lang w:eastAsia="es-ES"/>
              </w:rPr>
            </w:pPr>
            <w:r w:rsidRPr="00303890">
              <w:rPr>
                <w:rFonts w:cs="Arial"/>
                <w:lang w:eastAsia="es-ES"/>
              </w:rPr>
              <w:t xml:space="preserve">Throughout the 10 days, all activities were aimed at setting the stage for an </w:t>
            </w:r>
            <w:r>
              <w:rPr>
                <w:rFonts w:cs="Arial"/>
                <w:lang w:eastAsia="es-ES"/>
              </w:rPr>
              <w:t>internat</w:t>
            </w:r>
            <w:r w:rsidRPr="00303890">
              <w:rPr>
                <w:rFonts w:cs="Arial"/>
                <w:lang w:eastAsia="es-ES"/>
              </w:rPr>
              <w:t>ional professional exchange, within scope of the spirit raised by the Antarctic Treaty, to comprise and share</w:t>
            </w:r>
            <w:r>
              <w:rPr>
                <w:rFonts w:cs="Arial"/>
                <w:lang w:eastAsia="es-ES"/>
              </w:rPr>
              <w:t xml:space="preserve"> </w:t>
            </w:r>
            <w:r w:rsidRPr="00303890">
              <w:rPr>
                <w:rFonts w:cs="Arial"/>
                <w:lang w:eastAsia="es-ES"/>
              </w:rPr>
              <w:t>all</w:t>
            </w:r>
            <w:r>
              <w:rPr>
                <w:rFonts w:cs="Arial"/>
                <w:lang w:eastAsia="es-ES"/>
              </w:rPr>
              <w:t xml:space="preserve"> the</w:t>
            </w:r>
            <w:r w:rsidRPr="00303890">
              <w:rPr>
                <w:rFonts w:cs="Arial"/>
                <w:lang w:eastAsia="es-ES"/>
              </w:rPr>
              <w:t xml:space="preserve"> available knowledge on the </w:t>
            </w:r>
            <w:r>
              <w:rPr>
                <w:rFonts w:cs="Arial"/>
                <w:lang w:eastAsia="es-ES"/>
              </w:rPr>
              <w:t>Antarctic</w:t>
            </w:r>
            <w:r w:rsidRPr="00303890">
              <w:rPr>
                <w:rFonts w:cs="Arial"/>
                <w:lang w:eastAsia="es-ES"/>
              </w:rPr>
              <w:t xml:space="preserve">. </w:t>
            </w:r>
            <w:r w:rsidRPr="005258A9">
              <w:rPr>
                <w:rFonts w:cs="Arial"/>
                <w:lang w:eastAsia="es-ES"/>
              </w:rPr>
              <w:t xml:space="preserve">Also, to pass on the Argentine experience in the region, in such a way that the assisting seamen understand how operations and nautical security work, and get acquainted with all the tasks concerning regional environment, survival on land and sea, and the prevention of spills and pollution of southernmost areas. </w:t>
            </w:r>
          </w:p>
        </w:tc>
      </w:tr>
    </w:tbl>
    <w:p w:rsidR="00737550" w:rsidRPr="00737550" w:rsidRDefault="00737550" w:rsidP="00B60095">
      <w:pPr>
        <w:pStyle w:val="ListParagraph"/>
        <w:numPr>
          <w:ilvl w:val="0"/>
          <w:numId w:val="22"/>
        </w:numPr>
        <w:spacing w:line="400" w:lineRule="atLeast"/>
        <w:jc w:val="both"/>
        <w:rPr>
          <w:rFonts w:cs="Arial"/>
          <w:vanish/>
          <w:lang w:val="en-US" w:eastAsia="es-ES"/>
        </w:rPr>
      </w:pPr>
    </w:p>
    <w:tbl>
      <w:tblPr>
        <w:tblW w:w="5000" w:type="pct"/>
        <w:tblCellSpacing w:w="22" w:type="dxa"/>
        <w:tblCellMar>
          <w:top w:w="45" w:type="dxa"/>
          <w:left w:w="45" w:type="dxa"/>
          <w:bottom w:w="45" w:type="dxa"/>
          <w:right w:w="45" w:type="dxa"/>
        </w:tblCellMar>
        <w:tblLook w:val="00A0" w:firstRow="1" w:lastRow="0" w:firstColumn="1" w:lastColumn="0" w:noHBand="0" w:noVBand="0"/>
      </w:tblPr>
      <w:tblGrid>
        <w:gridCol w:w="6456"/>
        <w:gridCol w:w="3360"/>
      </w:tblGrid>
      <w:tr w:rsidR="00737550" w:rsidRPr="005258A9" w:rsidTr="00737550">
        <w:trPr>
          <w:tblCellSpacing w:w="22" w:type="dxa"/>
        </w:trPr>
        <w:tc>
          <w:tcPr>
            <w:tcW w:w="2500" w:type="pct"/>
            <w:vAlign w:val="center"/>
          </w:tcPr>
          <w:p w:rsidR="00737550" w:rsidRPr="003422FA" w:rsidRDefault="00737550" w:rsidP="00737550">
            <w:pPr>
              <w:jc w:val="both"/>
              <w:rPr>
                <w:rFonts w:cs="Arial"/>
                <w:lang w:val="en-US" w:eastAsia="es-ES"/>
              </w:rPr>
            </w:pPr>
            <w:r>
              <w:rPr>
                <w:rFonts w:cs="Arial"/>
                <w:noProof/>
              </w:rPr>
              <w:drawing>
                <wp:inline distT="0" distB="0" distL="0" distR="0">
                  <wp:extent cx="3976370" cy="2626360"/>
                  <wp:effectExtent l="19050" t="0" r="5080" b="0"/>
                  <wp:docPr id="13" name="Imagen 4" descr="http://www.escm.edu.ar/Images/Noticias/N2010/Clausura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www.escm.edu.ar/Images/Noticias/N2010/Clausura2010.jpg"/>
                          <pic:cNvPicPr>
                            <a:picLocks noChangeAspect="1" noChangeArrowheads="1"/>
                          </pic:cNvPicPr>
                        </pic:nvPicPr>
                        <pic:blipFill>
                          <a:blip r:embed="rId13" cstate="print"/>
                          <a:srcRect/>
                          <a:stretch>
                            <a:fillRect/>
                          </a:stretch>
                        </pic:blipFill>
                        <pic:spPr bwMode="auto">
                          <a:xfrm>
                            <a:off x="0" y="0"/>
                            <a:ext cx="3976370" cy="2626360"/>
                          </a:xfrm>
                          <a:prstGeom prst="rect">
                            <a:avLst/>
                          </a:prstGeom>
                          <a:noFill/>
                          <a:ln w="9525">
                            <a:noFill/>
                            <a:miter lim="800000"/>
                            <a:headEnd/>
                            <a:tailEnd/>
                          </a:ln>
                        </pic:spPr>
                      </pic:pic>
                    </a:graphicData>
                  </a:graphic>
                </wp:inline>
              </w:drawing>
            </w:r>
          </w:p>
        </w:tc>
        <w:tc>
          <w:tcPr>
            <w:tcW w:w="2500" w:type="pct"/>
            <w:vAlign w:val="center"/>
          </w:tcPr>
          <w:p w:rsidR="00737550" w:rsidRPr="00A7719E" w:rsidRDefault="00737550" w:rsidP="00737550">
            <w:pPr>
              <w:jc w:val="both"/>
              <w:rPr>
                <w:rFonts w:cs="Arial"/>
                <w:lang w:val="en-US" w:eastAsia="es-ES"/>
              </w:rPr>
            </w:pPr>
            <w:r w:rsidRPr="00A7719E">
              <w:rPr>
                <w:rFonts w:cs="Arial"/>
                <w:lang w:val="en-US" w:eastAsia="es-ES"/>
              </w:rPr>
              <w:t xml:space="preserve">  </w:t>
            </w:r>
          </w:p>
          <w:p w:rsidR="00737550" w:rsidRPr="00A7719E" w:rsidRDefault="00737550" w:rsidP="00737550">
            <w:pPr>
              <w:spacing w:before="100" w:beforeAutospacing="1" w:after="100" w:afterAutospacing="1"/>
              <w:jc w:val="both"/>
              <w:rPr>
                <w:rFonts w:cs="Arial"/>
                <w:lang w:val="en-US" w:eastAsia="es-ES"/>
              </w:rPr>
            </w:pPr>
            <w:r w:rsidRPr="00A7719E">
              <w:rPr>
                <w:rFonts w:cs="Arial"/>
                <w:lang w:val="en-US" w:eastAsia="es-ES"/>
              </w:rPr>
              <w:t> </w:t>
            </w:r>
          </w:p>
          <w:p w:rsidR="00737550" w:rsidRPr="00A7719E" w:rsidRDefault="00737550" w:rsidP="00737550">
            <w:pPr>
              <w:spacing w:before="100" w:beforeAutospacing="1" w:after="100" w:afterAutospacing="1"/>
              <w:jc w:val="both"/>
              <w:rPr>
                <w:rFonts w:cs="Arial"/>
                <w:lang w:val="en-US" w:eastAsia="es-ES"/>
              </w:rPr>
            </w:pPr>
            <w:r w:rsidRPr="00A7719E">
              <w:rPr>
                <w:rFonts w:cs="Arial"/>
                <w:lang w:val="en-US" w:eastAsia="es-ES"/>
              </w:rPr>
              <w:t> </w:t>
            </w:r>
          </w:p>
          <w:p w:rsidR="00737550" w:rsidRPr="00A7719E" w:rsidRDefault="00737550" w:rsidP="00737550">
            <w:pPr>
              <w:spacing w:before="100" w:beforeAutospacing="1" w:after="100" w:afterAutospacing="1"/>
              <w:jc w:val="both"/>
              <w:rPr>
                <w:rFonts w:cs="Arial"/>
                <w:lang w:val="en-US" w:eastAsia="es-ES"/>
              </w:rPr>
            </w:pPr>
            <w:r w:rsidRPr="00A7719E">
              <w:rPr>
                <w:rFonts w:cs="Arial"/>
                <w:lang w:val="en-US" w:eastAsia="es-ES"/>
              </w:rPr>
              <w:t> </w:t>
            </w:r>
          </w:p>
          <w:p w:rsidR="00737550" w:rsidRPr="00A7719E" w:rsidRDefault="00737550" w:rsidP="00737550">
            <w:pPr>
              <w:spacing w:before="100" w:beforeAutospacing="1" w:after="100" w:afterAutospacing="1"/>
              <w:jc w:val="both"/>
              <w:rPr>
                <w:rFonts w:cs="Arial"/>
                <w:lang w:val="en-US" w:eastAsia="es-ES"/>
              </w:rPr>
            </w:pPr>
            <w:r w:rsidRPr="00A7719E">
              <w:rPr>
                <w:rFonts w:cs="Arial"/>
                <w:lang w:val="en-US" w:eastAsia="es-ES"/>
              </w:rPr>
              <w:t> </w:t>
            </w:r>
          </w:p>
          <w:p w:rsidR="00737550" w:rsidRPr="005258A9" w:rsidRDefault="00737550" w:rsidP="00737550">
            <w:pPr>
              <w:spacing w:before="100" w:beforeAutospacing="1" w:after="100" w:afterAutospacing="1"/>
              <w:jc w:val="both"/>
              <w:rPr>
                <w:rFonts w:cs="Arial"/>
                <w:i/>
                <w:sz w:val="20"/>
                <w:szCs w:val="20"/>
                <w:lang w:eastAsia="es-ES"/>
              </w:rPr>
            </w:pPr>
            <w:r w:rsidRPr="005258A9">
              <w:rPr>
                <w:rFonts w:cs="Arial"/>
                <w:i/>
                <w:sz w:val="20"/>
                <w:szCs w:val="20"/>
                <w:lang w:eastAsia="es-ES"/>
              </w:rPr>
              <w:t xml:space="preserve">Authorities </w:t>
            </w:r>
            <w:r>
              <w:rPr>
                <w:rFonts w:cs="Arial"/>
                <w:i/>
                <w:sz w:val="20"/>
                <w:szCs w:val="20"/>
                <w:lang w:eastAsia="es-ES"/>
              </w:rPr>
              <w:t>present</w:t>
            </w:r>
            <w:r w:rsidRPr="005258A9">
              <w:rPr>
                <w:rFonts w:cs="Arial"/>
                <w:i/>
                <w:sz w:val="20"/>
                <w:szCs w:val="20"/>
                <w:lang w:eastAsia="es-ES"/>
              </w:rPr>
              <w:t xml:space="preserve"> </w:t>
            </w:r>
            <w:r>
              <w:rPr>
                <w:rFonts w:cs="Arial"/>
                <w:i/>
                <w:sz w:val="20"/>
                <w:szCs w:val="20"/>
                <w:lang w:eastAsia="es-ES"/>
              </w:rPr>
              <w:t>a</w:t>
            </w:r>
            <w:r w:rsidRPr="005258A9">
              <w:rPr>
                <w:rFonts w:cs="Arial"/>
                <w:i/>
                <w:sz w:val="20"/>
                <w:szCs w:val="20"/>
                <w:lang w:eastAsia="es-ES"/>
              </w:rPr>
              <w:t>t the Closure Ceremony of the 21</w:t>
            </w:r>
            <w:r w:rsidRPr="005258A9">
              <w:rPr>
                <w:rFonts w:cs="Arial"/>
                <w:i/>
                <w:sz w:val="20"/>
                <w:szCs w:val="20"/>
                <w:vertAlign w:val="superscript"/>
                <w:lang w:eastAsia="es-ES"/>
              </w:rPr>
              <w:t>st</w:t>
            </w:r>
            <w:r w:rsidRPr="005258A9">
              <w:rPr>
                <w:rFonts w:cs="Arial"/>
                <w:i/>
                <w:sz w:val="20"/>
                <w:szCs w:val="20"/>
                <w:lang w:eastAsia="es-ES"/>
              </w:rPr>
              <w:t xml:space="preserve"> NAVANTAR</w:t>
            </w:r>
          </w:p>
          <w:p w:rsidR="00737550" w:rsidRPr="005258A9" w:rsidRDefault="00737550" w:rsidP="00737550">
            <w:pPr>
              <w:jc w:val="both"/>
              <w:rPr>
                <w:rFonts w:cs="Arial"/>
                <w:lang w:eastAsia="es-ES"/>
              </w:rPr>
            </w:pPr>
          </w:p>
        </w:tc>
      </w:tr>
    </w:tbl>
    <w:p w:rsidR="00737550" w:rsidRPr="00E20C37" w:rsidRDefault="00737550" w:rsidP="00E20C37">
      <w:pPr>
        <w:pStyle w:val="Heading3"/>
      </w:pPr>
      <w:r w:rsidRPr="00E20C37">
        <w:t>Delivery of Certificates:</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66"/>
        <w:gridCol w:w="4680"/>
        <w:gridCol w:w="4680"/>
        <w:gridCol w:w="66"/>
      </w:tblGrid>
      <w:tr w:rsidR="00737550" w:rsidRPr="007E53E1" w:rsidTr="00737550">
        <w:trPr>
          <w:tblCellSpacing w:w="22" w:type="dxa"/>
        </w:trPr>
        <w:tc>
          <w:tcPr>
            <w:tcW w:w="0" w:type="auto"/>
            <w:gridSpan w:val="4"/>
            <w:vAlign w:val="center"/>
          </w:tcPr>
          <w:p w:rsidR="00737550" w:rsidRPr="007E53E1" w:rsidRDefault="00737550" w:rsidP="00737550">
            <w:pPr>
              <w:spacing w:before="100" w:beforeAutospacing="1" w:after="100" w:afterAutospacing="1"/>
              <w:jc w:val="both"/>
              <w:rPr>
                <w:rFonts w:cs="Arial"/>
                <w:lang w:eastAsia="es-ES"/>
              </w:rPr>
            </w:pPr>
            <w:r w:rsidRPr="005258A9">
              <w:rPr>
                <w:rFonts w:cs="Arial"/>
                <w:lang w:eastAsia="es-ES"/>
              </w:rPr>
              <w:t>All along</w:t>
            </w:r>
            <w:r>
              <w:rPr>
                <w:rFonts w:cs="Arial"/>
                <w:lang w:eastAsia="es-ES"/>
              </w:rPr>
              <w:t>,</w:t>
            </w:r>
            <w:r w:rsidRPr="005258A9">
              <w:rPr>
                <w:rFonts w:cs="Arial"/>
                <w:lang w:eastAsia="es-ES"/>
              </w:rPr>
              <w:t xml:space="preserve"> efforts have b</w:t>
            </w:r>
            <w:r>
              <w:rPr>
                <w:rFonts w:cs="Arial"/>
                <w:lang w:eastAsia="es-ES"/>
              </w:rPr>
              <w:t>e</w:t>
            </w:r>
            <w:r w:rsidRPr="005258A9">
              <w:rPr>
                <w:rFonts w:cs="Arial"/>
                <w:lang w:eastAsia="es-ES"/>
              </w:rPr>
              <w:t xml:space="preserve">en placed on </w:t>
            </w:r>
            <w:r>
              <w:rPr>
                <w:rFonts w:cs="Arial"/>
                <w:lang w:eastAsia="es-ES"/>
              </w:rPr>
              <w:t>i</w:t>
            </w:r>
            <w:r w:rsidRPr="005258A9">
              <w:rPr>
                <w:rFonts w:cs="Arial"/>
                <w:lang w:eastAsia="es-ES"/>
              </w:rPr>
              <w:t xml:space="preserve">ncreasing and consolidating the community of maritime professionals </w:t>
            </w:r>
            <w:r>
              <w:rPr>
                <w:rFonts w:cs="Arial"/>
                <w:lang w:eastAsia="es-ES"/>
              </w:rPr>
              <w:t>concerne</w:t>
            </w:r>
            <w:r w:rsidRPr="005258A9">
              <w:rPr>
                <w:rFonts w:cs="Arial"/>
                <w:lang w:eastAsia="es-ES"/>
              </w:rPr>
              <w:t>d with operations in this region and mindful of the environme</w:t>
            </w:r>
            <w:r>
              <w:rPr>
                <w:rFonts w:cs="Arial"/>
                <w:lang w:eastAsia="es-ES"/>
              </w:rPr>
              <w:t xml:space="preserve">nt, </w:t>
            </w:r>
            <w:r w:rsidRPr="005258A9">
              <w:rPr>
                <w:rFonts w:cs="Arial"/>
                <w:lang w:eastAsia="es-ES"/>
              </w:rPr>
              <w:t xml:space="preserve">strengthening fellowship amongst military and civilian mariners. </w:t>
            </w:r>
            <w:r w:rsidRPr="007E53E1">
              <w:rPr>
                <w:rFonts w:cs="Arial"/>
                <w:lang w:eastAsia="es-ES"/>
              </w:rPr>
              <w:t>Hence, this mutual acquaintance and comradeship of crews has deepen</w:t>
            </w:r>
            <w:r>
              <w:rPr>
                <w:rFonts w:cs="Arial"/>
                <w:lang w:eastAsia="es-ES"/>
              </w:rPr>
              <w:t>e</w:t>
            </w:r>
            <w:r w:rsidRPr="007E53E1">
              <w:rPr>
                <w:rFonts w:cs="Arial"/>
                <w:lang w:eastAsia="es-ES"/>
              </w:rPr>
              <w:t>d throughout</w:t>
            </w:r>
            <w:r>
              <w:rPr>
                <w:rFonts w:cs="Arial"/>
                <w:lang w:eastAsia="es-ES"/>
              </w:rPr>
              <w:t xml:space="preserve"> the last 19 instal</w:t>
            </w:r>
            <w:r w:rsidRPr="007E53E1">
              <w:rPr>
                <w:rFonts w:cs="Arial"/>
                <w:lang w:eastAsia="es-ES"/>
              </w:rPr>
              <w:t xml:space="preserve">ments of NAVANTAR, </w:t>
            </w:r>
            <w:r>
              <w:rPr>
                <w:rFonts w:cs="Arial"/>
                <w:lang w:eastAsia="es-ES"/>
              </w:rPr>
              <w:t xml:space="preserve">constituted </w:t>
            </w:r>
            <w:r w:rsidRPr="007E53E1">
              <w:rPr>
                <w:rFonts w:cs="Arial"/>
                <w:lang w:eastAsia="es-ES"/>
              </w:rPr>
              <w:t>by 748 mariners from Germany, Australia, Belgium, Bolivia, Brazil, Guatemala, Ho</w:t>
            </w:r>
            <w:r>
              <w:rPr>
                <w:rFonts w:cs="Arial"/>
                <w:lang w:eastAsia="es-ES"/>
              </w:rPr>
              <w:t>l</w:t>
            </w:r>
            <w:r w:rsidRPr="007E53E1">
              <w:rPr>
                <w:rFonts w:cs="Arial"/>
                <w:lang w:eastAsia="es-ES"/>
              </w:rPr>
              <w:t xml:space="preserve">land, India, Italy, Mexico, Norway, New Zealand, Paraguay, Peru, South Africa, Spain, </w:t>
            </w:r>
            <w:r>
              <w:rPr>
                <w:rFonts w:cs="Arial"/>
                <w:lang w:eastAsia="es-ES"/>
              </w:rPr>
              <w:t xml:space="preserve">the </w:t>
            </w:r>
            <w:r w:rsidRPr="007E53E1">
              <w:rPr>
                <w:rFonts w:cs="Arial"/>
                <w:lang w:eastAsia="es-ES"/>
              </w:rPr>
              <w:t>UK,</w:t>
            </w:r>
            <w:r>
              <w:rPr>
                <w:rFonts w:cs="Arial"/>
                <w:lang w:eastAsia="es-ES"/>
              </w:rPr>
              <w:t xml:space="preserve"> Uruguay, Venezuela and Argentina</w:t>
            </w:r>
            <w:r w:rsidRPr="007E53E1">
              <w:rPr>
                <w:rFonts w:cs="Arial"/>
                <w:lang w:eastAsia="es-ES"/>
              </w:rPr>
              <w:t>.</w:t>
            </w:r>
          </w:p>
        </w:tc>
      </w:tr>
      <w:tr w:rsidR="00737550" w:rsidRPr="003422FA" w:rsidTr="00001C08">
        <w:tblPrEx>
          <w:tblCellSpacing w:w="15" w:type="dxa"/>
          <w:tblCellMar>
            <w:top w:w="15" w:type="dxa"/>
            <w:left w:w="15" w:type="dxa"/>
            <w:bottom w:w="15" w:type="dxa"/>
            <w:right w:w="15" w:type="dxa"/>
          </w:tblCellMar>
        </w:tblPrEx>
        <w:trPr>
          <w:gridBefore w:val="1"/>
          <w:gridAfter w:val="1"/>
          <w:tblCellSpacing w:w="15" w:type="dxa"/>
        </w:trPr>
        <w:tc>
          <w:tcPr>
            <w:tcW w:w="2462" w:type="pct"/>
            <w:vAlign w:val="center"/>
          </w:tcPr>
          <w:p w:rsidR="00737550" w:rsidRPr="003422FA" w:rsidRDefault="00737550" w:rsidP="00737550">
            <w:pPr>
              <w:spacing w:before="100" w:beforeAutospacing="1" w:after="100" w:afterAutospacing="1"/>
              <w:jc w:val="both"/>
              <w:rPr>
                <w:rFonts w:cs="Arial"/>
                <w:lang w:val="en-US" w:eastAsia="es-ES"/>
              </w:rPr>
            </w:pPr>
            <w:r>
              <w:rPr>
                <w:rFonts w:cs="Arial"/>
                <w:noProof/>
              </w:rPr>
              <w:lastRenderedPageBreak/>
              <w:drawing>
                <wp:inline distT="0" distB="0" distL="0" distR="0">
                  <wp:extent cx="2339340" cy="1595120"/>
                  <wp:effectExtent l="19050" t="0" r="3810" b="0"/>
                  <wp:docPr id="16" name="Imagen 8" descr="http://www.escm.edu.ar/Images/Noticias/N2010/MMerca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escm.edu.ar/Images/Noticias/N2010/MMercante.jpg"/>
                          <pic:cNvPicPr>
                            <a:picLocks noChangeAspect="1" noChangeArrowheads="1"/>
                          </pic:cNvPicPr>
                        </pic:nvPicPr>
                        <pic:blipFill>
                          <a:blip r:embed="rId14" cstate="print"/>
                          <a:srcRect/>
                          <a:stretch>
                            <a:fillRect/>
                          </a:stretch>
                        </pic:blipFill>
                        <pic:spPr bwMode="auto">
                          <a:xfrm>
                            <a:off x="0" y="0"/>
                            <a:ext cx="2339340" cy="1595120"/>
                          </a:xfrm>
                          <a:prstGeom prst="rect">
                            <a:avLst/>
                          </a:prstGeom>
                          <a:noFill/>
                          <a:ln w="9525">
                            <a:noFill/>
                            <a:miter lim="800000"/>
                            <a:headEnd/>
                            <a:tailEnd/>
                          </a:ln>
                        </pic:spPr>
                      </pic:pic>
                    </a:graphicData>
                  </a:graphic>
                </wp:inline>
              </w:drawing>
            </w:r>
          </w:p>
        </w:tc>
        <w:tc>
          <w:tcPr>
            <w:tcW w:w="2462" w:type="pct"/>
            <w:vAlign w:val="center"/>
          </w:tcPr>
          <w:p w:rsidR="00737550" w:rsidRPr="003422FA" w:rsidRDefault="00737550" w:rsidP="00737550">
            <w:pPr>
              <w:spacing w:before="100" w:beforeAutospacing="1" w:after="100" w:afterAutospacing="1"/>
              <w:jc w:val="both"/>
              <w:rPr>
                <w:rFonts w:cs="Arial"/>
                <w:lang w:val="en-US" w:eastAsia="es-ES"/>
              </w:rPr>
            </w:pPr>
          </w:p>
        </w:tc>
      </w:tr>
      <w:tr w:rsidR="00737550" w:rsidRPr="007E53E1" w:rsidTr="00001C08">
        <w:tblPrEx>
          <w:tblCellSpacing w:w="15" w:type="dxa"/>
          <w:tblCellMar>
            <w:top w:w="15" w:type="dxa"/>
            <w:left w:w="15" w:type="dxa"/>
            <w:bottom w:w="15" w:type="dxa"/>
            <w:right w:w="15" w:type="dxa"/>
          </w:tblCellMar>
        </w:tblPrEx>
        <w:trPr>
          <w:gridBefore w:val="1"/>
          <w:gridAfter w:val="1"/>
          <w:tblCellSpacing w:w="15" w:type="dxa"/>
        </w:trPr>
        <w:tc>
          <w:tcPr>
            <w:tcW w:w="2462" w:type="pct"/>
          </w:tcPr>
          <w:p w:rsidR="00737550" w:rsidRPr="007E53E1" w:rsidRDefault="00737550" w:rsidP="00737550">
            <w:pPr>
              <w:jc w:val="center"/>
              <w:rPr>
                <w:rFonts w:cs="Arial"/>
                <w:lang w:eastAsia="es-ES"/>
              </w:rPr>
            </w:pPr>
            <w:r w:rsidRPr="007E53E1">
              <w:rPr>
                <w:rFonts w:cs="Arial"/>
                <w:i/>
                <w:sz w:val="20"/>
                <w:szCs w:val="20"/>
                <w:lang w:eastAsia="es-ES"/>
              </w:rPr>
              <w:t>Ce</w:t>
            </w:r>
            <w:r>
              <w:rPr>
                <w:rFonts w:cs="Arial"/>
                <w:i/>
                <w:sz w:val="20"/>
                <w:szCs w:val="20"/>
                <w:lang w:eastAsia="es-ES"/>
              </w:rPr>
              <w:t>rtifi</w:t>
            </w:r>
            <w:r w:rsidRPr="007E53E1">
              <w:rPr>
                <w:rFonts w:cs="Arial"/>
                <w:i/>
                <w:sz w:val="20"/>
                <w:szCs w:val="20"/>
                <w:lang w:eastAsia="es-ES"/>
              </w:rPr>
              <w:t xml:space="preserve">cate </w:t>
            </w:r>
            <w:r>
              <w:rPr>
                <w:rFonts w:cs="Arial"/>
                <w:i/>
                <w:sz w:val="20"/>
                <w:szCs w:val="20"/>
                <w:lang w:eastAsia="es-ES"/>
              </w:rPr>
              <w:t>awarded</w:t>
            </w:r>
            <w:r w:rsidRPr="007E53E1">
              <w:rPr>
                <w:rFonts w:cs="Arial"/>
                <w:i/>
                <w:sz w:val="20"/>
                <w:szCs w:val="20"/>
                <w:lang w:eastAsia="es-ES"/>
              </w:rPr>
              <w:t xml:space="preserve"> </w:t>
            </w:r>
            <w:r>
              <w:rPr>
                <w:rFonts w:cs="Arial"/>
                <w:i/>
                <w:sz w:val="20"/>
                <w:szCs w:val="20"/>
                <w:lang w:eastAsia="es-ES"/>
              </w:rPr>
              <w:t>to</w:t>
            </w:r>
            <w:r w:rsidRPr="007E53E1">
              <w:rPr>
                <w:rFonts w:cs="Arial"/>
                <w:i/>
                <w:sz w:val="20"/>
                <w:szCs w:val="20"/>
                <w:lang w:eastAsia="es-ES"/>
              </w:rPr>
              <w:t xml:space="preserve"> Merchant Navy Officer</w:t>
            </w:r>
          </w:p>
        </w:tc>
        <w:tc>
          <w:tcPr>
            <w:tcW w:w="2462" w:type="pct"/>
          </w:tcPr>
          <w:p w:rsidR="00737550" w:rsidRPr="007E53E1" w:rsidRDefault="00737550" w:rsidP="00737550">
            <w:pPr>
              <w:jc w:val="center"/>
              <w:rPr>
                <w:rFonts w:cs="Arial"/>
                <w:lang w:eastAsia="es-ES"/>
              </w:rPr>
            </w:pPr>
          </w:p>
        </w:tc>
      </w:tr>
    </w:tbl>
    <w:p w:rsidR="00737550" w:rsidRPr="00737550" w:rsidRDefault="00737550" w:rsidP="00B60095">
      <w:pPr>
        <w:pStyle w:val="ListParagraph"/>
        <w:numPr>
          <w:ilvl w:val="0"/>
          <w:numId w:val="22"/>
        </w:numPr>
        <w:spacing w:line="400" w:lineRule="atLeast"/>
        <w:jc w:val="both"/>
        <w:rPr>
          <w:rFonts w:cs="Arial"/>
          <w:vanish/>
          <w:lang w:val="en-US" w:eastAsia="es-ES"/>
        </w:rPr>
      </w:pPr>
    </w:p>
    <w:tbl>
      <w:tblPr>
        <w:tblW w:w="4850" w:type="pct"/>
        <w:tblCellSpacing w:w="15" w:type="dxa"/>
        <w:tblCellMar>
          <w:top w:w="15" w:type="dxa"/>
          <w:left w:w="15" w:type="dxa"/>
          <w:bottom w:w="15" w:type="dxa"/>
          <w:right w:w="15" w:type="dxa"/>
        </w:tblCellMar>
        <w:tblLook w:val="00A0" w:firstRow="1" w:lastRow="0" w:firstColumn="1" w:lastColumn="0" w:noHBand="0" w:noVBand="0"/>
      </w:tblPr>
      <w:tblGrid>
        <w:gridCol w:w="4668"/>
        <w:gridCol w:w="4768"/>
      </w:tblGrid>
      <w:tr w:rsidR="00737550" w:rsidRPr="003422FA" w:rsidTr="00737550">
        <w:trPr>
          <w:tblCellSpacing w:w="15" w:type="dxa"/>
        </w:trPr>
        <w:tc>
          <w:tcPr>
            <w:tcW w:w="2473" w:type="pct"/>
            <w:vAlign w:val="center"/>
          </w:tcPr>
          <w:p w:rsidR="00737550" w:rsidRPr="003422FA" w:rsidRDefault="00737550" w:rsidP="00737550">
            <w:pPr>
              <w:spacing w:before="100" w:beforeAutospacing="1" w:after="100" w:afterAutospacing="1"/>
              <w:jc w:val="both"/>
              <w:rPr>
                <w:rFonts w:cs="Arial"/>
                <w:lang w:val="en-US" w:eastAsia="es-ES"/>
              </w:rPr>
            </w:pPr>
            <w:r>
              <w:rPr>
                <w:rFonts w:cs="Arial"/>
                <w:noProof/>
              </w:rPr>
              <w:drawing>
                <wp:inline distT="0" distB="0" distL="0" distR="0">
                  <wp:extent cx="2339340" cy="1595120"/>
                  <wp:effectExtent l="19050" t="0" r="3810" b="0"/>
                  <wp:docPr id="18" name="Imagen 10" descr="http://www.escm.edu.ar/Images/Noticias/N2010/Doc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http://www.escm.edu.ar/Images/Noticias/N2010/Docente.jpg"/>
                          <pic:cNvPicPr>
                            <a:picLocks noChangeAspect="1" noChangeArrowheads="1"/>
                          </pic:cNvPicPr>
                        </pic:nvPicPr>
                        <pic:blipFill>
                          <a:blip r:embed="rId15" cstate="print"/>
                          <a:srcRect/>
                          <a:stretch>
                            <a:fillRect/>
                          </a:stretch>
                        </pic:blipFill>
                        <pic:spPr bwMode="auto">
                          <a:xfrm>
                            <a:off x="0" y="0"/>
                            <a:ext cx="2339340" cy="1595120"/>
                          </a:xfrm>
                          <a:prstGeom prst="rect">
                            <a:avLst/>
                          </a:prstGeom>
                          <a:noFill/>
                          <a:ln w="9525">
                            <a:noFill/>
                            <a:miter lim="800000"/>
                            <a:headEnd/>
                            <a:tailEnd/>
                          </a:ln>
                        </pic:spPr>
                      </pic:pic>
                    </a:graphicData>
                  </a:graphic>
                </wp:inline>
              </w:drawing>
            </w:r>
          </w:p>
        </w:tc>
        <w:tc>
          <w:tcPr>
            <w:tcW w:w="0" w:type="auto"/>
            <w:vAlign w:val="center"/>
          </w:tcPr>
          <w:p w:rsidR="00737550" w:rsidRPr="003422FA" w:rsidRDefault="00737550" w:rsidP="00737550">
            <w:pPr>
              <w:jc w:val="both"/>
              <w:rPr>
                <w:rFonts w:cs="Arial"/>
                <w:lang w:val="en-US" w:eastAsia="es-ES"/>
              </w:rPr>
            </w:pPr>
          </w:p>
        </w:tc>
      </w:tr>
    </w:tbl>
    <w:p w:rsidR="00737550" w:rsidRPr="00737550" w:rsidRDefault="00737550" w:rsidP="00B60095">
      <w:pPr>
        <w:pStyle w:val="ListParagraph"/>
        <w:numPr>
          <w:ilvl w:val="0"/>
          <w:numId w:val="22"/>
        </w:numPr>
        <w:rPr>
          <w:rFonts w:cs="Arial"/>
          <w:i/>
          <w:sz w:val="20"/>
          <w:szCs w:val="20"/>
          <w:lang w:val="en-US" w:eastAsia="es-ES"/>
        </w:rPr>
      </w:pPr>
      <w:r w:rsidRPr="00737550">
        <w:rPr>
          <w:rFonts w:cs="Arial"/>
          <w:i/>
          <w:sz w:val="20"/>
          <w:szCs w:val="20"/>
          <w:lang w:val="en-US" w:eastAsia="es-ES"/>
        </w:rPr>
        <w:t>Certificate awarded to Teacher</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728"/>
      </w:tblGrid>
      <w:tr w:rsidR="00737550" w:rsidRPr="0002797A" w:rsidTr="00737550">
        <w:trPr>
          <w:tblCellSpacing w:w="15" w:type="dxa"/>
        </w:trPr>
        <w:tc>
          <w:tcPr>
            <w:tcW w:w="0" w:type="auto"/>
            <w:vAlign w:val="center"/>
          </w:tcPr>
          <w:p w:rsidR="00737550" w:rsidRPr="0002797A" w:rsidRDefault="00737550" w:rsidP="00FE1D31">
            <w:pPr>
              <w:spacing w:before="100" w:beforeAutospacing="1" w:after="100" w:afterAutospacing="1"/>
              <w:rPr>
                <w:rFonts w:cs="Arial"/>
                <w:lang w:val="en-US" w:eastAsia="es-ES"/>
              </w:rPr>
            </w:pPr>
            <w:r w:rsidRPr="0002797A">
              <w:rPr>
                <w:rFonts w:cs="Arial"/>
                <w:lang w:val="en-US" w:eastAsia="es-ES"/>
              </w:rPr>
              <w:t xml:space="preserve">Finally, it may be assured that the course has lived up to its motto: </w:t>
            </w:r>
            <w:r w:rsidRPr="0002797A">
              <w:rPr>
                <w:rFonts w:cs="Arial"/>
                <w:i/>
                <w:lang w:val="en-US" w:eastAsia="es-ES"/>
              </w:rPr>
              <w:t xml:space="preserve">Knowledge, training, experience and skills </w:t>
            </w:r>
            <w:r>
              <w:rPr>
                <w:rFonts w:cs="Arial"/>
                <w:i/>
                <w:lang w:val="en-US" w:eastAsia="es-ES"/>
              </w:rPr>
              <w:t>together</w:t>
            </w:r>
            <w:r w:rsidRPr="0002797A">
              <w:rPr>
                <w:rFonts w:cs="Arial"/>
                <w:i/>
                <w:lang w:val="en-US" w:eastAsia="es-ES"/>
              </w:rPr>
              <w:t xml:space="preserve"> are the driving force towards success in managing maritime risk in the Antarctic</w:t>
            </w:r>
            <w:r>
              <w:rPr>
                <w:rFonts w:cs="Arial"/>
                <w:lang w:val="en-US" w:eastAsia="es-ES"/>
              </w:rPr>
              <w:t xml:space="preserve">; and whose corollary still is: </w:t>
            </w:r>
            <w:r w:rsidRPr="00E23A40">
              <w:rPr>
                <w:rFonts w:cs="Arial"/>
                <w:i/>
                <w:lang w:val="en-US" w:eastAsia="es-ES"/>
              </w:rPr>
              <w:t>To protect the Antarctic environment, its fauna and living resources.</w:t>
            </w:r>
            <w:r w:rsidRPr="0002797A">
              <w:rPr>
                <w:rFonts w:cs="Arial"/>
                <w:lang w:val="en-US" w:eastAsia="es-ES"/>
              </w:rPr>
              <w:t xml:space="preserve"> </w:t>
            </w:r>
          </w:p>
        </w:tc>
      </w:tr>
    </w:tbl>
    <w:p w:rsidR="00EE11C9" w:rsidRDefault="00EE11C9" w:rsidP="000F25EC">
      <w:pPr>
        <w:pStyle w:val="Heading1"/>
      </w:pPr>
      <w:r>
        <w:t>Information about the course:</w:t>
      </w:r>
    </w:p>
    <w:p w:rsidR="00EE11C9" w:rsidRDefault="00EE11C9" w:rsidP="000F25EC">
      <w:pPr>
        <w:pStyle w:val="Heading2"/>
      </w:pPr>
      <w:r>
        <w:t>V</w:t>
      </w:r>
      <w:r w:rsidR="000F25EC">
        <w:t>enue</w:t>
      </w:r>
    </w:p>
    <w:p w:rsidR="00EE11C9" w:rsidRDefault="00EE11C9" w:rsidP="00EE11C9">
      <w:pPr>
        <w:pStyle w:val="BodyText"/>
      </w:pPr>
      <w:r>
        <w:t>ESCUELA NACIONAL DE NAUTICA</w:t>
      </w:r>
    </w:p>
    <w:p w:rsidR="00EE11C9" w:rsidRDefault="00EE11C9" w:rsidP="00EE11C9">
      <w:pPr>
        <w:pStyle w:val="BodyText"/>
      </w:pPr>
      <w:r>
        <w:t>1535 Av. Antártida Argentina</w:t>
      </w:r>
    </w:p>
    <w:p w:rsidR="00EE11C9" w:rsidRDefault="00EE11C9" w:rsidP="00EE11C9">
      <w:pPr>
        <w:pStyle w:val="BodyText"/>
      </w:pPr>
      <w:r w:rsidRPr="00001C08">
        <w:rPr>
          <w:lang w:val="es-ES"/>
        </w:rPr>
        <w:t xml:space="preserve">C1104ACC Ciudad Autónoma de Buenos Aires. </w:t>
      </w:r>
      <w:r>
        <w:t xml:space="preserve">Argentina. </w:t>
      </w:r>
    </w:p>
    <w:p w:rsidR="00EE11C9" w:rsidRDefault="000F25EC" w:rsidP="000F25EC">
      <w:pPr>
        <w:pStyle w:val="Heading2"/>
      </w:pPr>
      <w:r>
        <w:t>Date</w:t>
      </w:r>
    </w:p>
    <w:p w:rsidR="00EE11C9" w:rsidRDefault="00EE11C9" w:rsidP="00EE11C9">
      <w:pPr>
        <w:pStyle w:val="BodyText"/>
      </w:pPr>
      <w:r>
        <w:t>This course is held on an annual basis between the last week of August and the first week of September.</w:t>
      </w:r>
    </w:p>
    <w:p w:rsidR="00EE11C9" w:rsidRDefault="000F25EC" w:rsidP="000F25EC">
      <w:pPr>
        <w:pStyle w:val="Heading2"/>
      </w:pPr>
      <w:r>
        <w:t>Class hours</w:t>
      </w:r>
    </w:p>
    <w:p w:rsidR="00EE11C9" w:rsidRDefault="00EE11C9" w:rsidP="00EE11C9">
      <w:pPr>
        <w:pStyle w:val="BodyText"/>
      </w:pPr>
      <w:r>
        <w:t>09:00 to 12:30 and 14:00 to 17:30</w:t>
      </w:r>
    </w:p>
    <w:p w:rsidR="00EE11C9" w:rsidRDefault="000F25EC" w:rsidP="000F25EC">
      <w:pPr>
        <w:pStyle w:val="Heading2"/>
      </w:pPr>
      <w:r>
        <w:t>Language</w:t>
      </w:r>
    </w:p>
    <w:p w:rsidR="00EE11C9" w:rsidRDefault="00EE11C9" w:rsidP="00EE11C9">
      <w:pPr>
        <w:pStyle w:val="BodyText"/>
      </w:pPr>
      <w:proofErr w:type="gramStart"/>
      <w:r>
        <w:t>Spanish with simultaneous Spanish-to-English interpretation.</w:t>
      </w:r>
      <w:proofErr w:type="gramEnd"/>
    </w:p>
    <w:p w:rsidR="00EE11C9" w:rsidRDefault="000F25EC" w:rsidP="000F25EC">
      <w:pPr>
        <w:pStyle w:val="Heading2"/>
      </w:pPr>
      <w:r>
        <w:t>Bibliography</w:t>
      </w:r>
    </w:p>
    <w:p w:rsidR="00EE11C9" w:rsidRDefault="00EE11C9" w:rsidP="00EE11C9">
      <w:pPr>
        <w:pStyle w:val="BodyText"/>
      </w:pPr>
      <w:r>
        <w:t>Reading material and class revision sheets are handed out in Spanish, except certain limited issues which come in English.</w:t>
      </w:r>
    </w:p>
    <w:p w:rsidR="00EE11C9" w:rsidRDefault="000F25EC" w:rsidP="000F25EC">
      <w:pPr>
        <w:pStyle w:val="Heading2"/>
      </w:pPr>
      <w:r>
        <w:t>Registration</w:t>
      </w:r>
    </w:p>
    <w:p w:rsidR="00EE11C9" w:rsidRDefault="00EE11C9" w:rsidP="00B60095">
      <w:pPr>
        <w:pStyle w:val="BodyText"/>
        <w:numPr>
          <w:ilvl w:val="0"/>
          <w:numId w:val="20"/>
        </w:numPr>
      </w:pPr>
      <w:r>
        <w:t>Fill out the pre-registration form (</w:t>
      </w:r>
      <w:r w:rsidRPr="00FB7A21">
        <w:rPr>
          <w:color w:val="0070C0"/>
          <w:u w:val="single"/>
        </w:rPr>
        <w:t>http://www.navantar.escm.edu.ar/Inscripcion.asp)</w:t>
      </w:r>
    </w:p>
    <w:p w:rsidR="00EE11C9" w:rsidRDefault="00EE11C9" w:rsidP="00B60095">
      <w:pPr>
        <w:pStyle w:val="BodyText"/>
        <w:numPr>
          <w:ilvl w:val="0"/>
          <w:numId w:val="20"/>
        </w:numPr>
      </w:pPr>
      <w:r>
        <w:t>Must be a graduate of a tertiary naval institute; with either military or civil training.</w:t>
      </w:r>
    </w:p>
    <w:p w:rsidR="00EE11C9" w:rsidRDefault="00EE11C9" w:rsidP="00B60095">
      <w:pPr>
        <w:pStyle w:val="BodyText"/>
        <w:numPr>
          <w:ilvl w:val="0"/>
          <w:numId w:val="20"/>
        </w:numPr>
      </w:pPr>
      <w:r>
        <w:t>The course is completely free of cost.</w:t>
      </w:r>
    </w:p>
    <w:p w:rsidR="00EE11C9" w:rsidRDefault="00EE11C9" w:rsidP="00B60095">
      <w:pPr>
        <w:pStyle w:val="BodyText"/>
        <w:numPr>
          <w:ilvl w:val="0"/>
          <w:numId w:val="20"/>
        </w:numPr>
      </w:pPr>
      <w:r>
        <w:lastRenderedPageBreak/>
        <w:t>The course does not provide facilities or expenses as regards lodging, transportation and meals. Neither does it include reception at airport and transfer to and from the city.</w:t>
      </w:r>
    </w:p>
    <w:sectPr w:rsidR="00EE11C9" w:rsidSect="0082480E">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92B" w:rsidRDefault="00B0392B" w:rsidP="00362CD9">
      <w:r>
        <w:separator/>
      </w:r>
    </w:p>
  </w:endnote>
  <w:endnote w:type="continuationSeparator" w:id="0">
    <w:p w:rsidR="00B0392B" w:rsidRDefault="00B0392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A" w:rsidRDefault="003D1C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A" w:rsidRDefault="003D1C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A" w:rsidRDefault="003D1C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92B" w:rsidRDefault="00B0392B" w:rsidP="00362CD9">
      <w:r>
        <w:separator/>
      </w:r>
    </w:p>
  </w:footnote>
  <w:footnote w:type="continuationSeparator" w:id="0">
    <w:p w:rsidR="00B0392B" w:rsidRDefault="00B0392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A" w:rsidRDefault="003D1C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9" w:rsidRDefault="00094E19">
    <w:pPr>
      <w:pStyle w:val="Header"/>
    </w:pPr>
    <w:r>
      <w:tab/>
    </w:r>
    <w:r>
      <w:tab/>
    </w:r>
    <w:r>
      <w:t>EEP17/8/</w:t>
    </w:r>
    <w:r w:rsidR="003D1CCA">
      <w:t>16</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A" w:rsidRDefault="003D1C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30D1E92"/>
    <w:multiLevelType w:val="hybridMultilevel"/>
    <w:tmpl w:val="68E0D1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694DB4"/>
    <w:multiLevelType w:val="hybridMultilevel"/>
    <w:tmpl w:val="56D46F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863FF2"/>
    <w:multiLevelType w:val="multilevel"/>
    <w:tmpl w:val="D80AA72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992"/>
        </w:tabs>
        <w:ind w:left="992" w:hanging="992"/>
      </w:pPr>
      <w:rPr>
        <w:rFonts w:ascii="Symbol" w:hAnsi="Symbol"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7910DC0"/>
    <w:multiLevelType w:val="multilevel"/>
    <w:tmpl w:val="DAD47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67242FE"/>
    <w:multiLevelType w:val="hybridMultilevel"/>
    <w:tmpl w:val="7F4C0D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
  </w:num>
  <w:num w:numId="4">
    <w:abstractNumId w:val="19"/>
  </w:num>
  <w:num w:numId="5">
    <w:abstractNumId w:val="7"/>
  </w:num>
  <w:num w:numId="6">
    <w:abstractNumId w:val="6"/>
  </w:num>
  <w:num w:numId="7">
    <w:abstractNumId w:val="14"/>
  </w:num>
  <w:num w:numId="8">
    <w:abstractNumId w:val="13"/>
  </w:num>
  <w:num w:numId="9">
    <w:abstractNumId w:val="18"/>
  </w:num>
  <w:num w:numId="10">
    <w:abstractNumId w:val="5"/>
  </w:num>
  <w:num w:numId="11">
    <w:abstractNumId w:val="15"/>
  </w:num>
  <w:num w:numId="12">
    <w:abstractNumId w:val="10"/>
  </w:num>
  <w:num w:numId="13">
    <w:abstractNumId w:val="9"/>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6"/>
  </w:num>
  <w:num w:numId="22">
    <w:abstractNumId w:val="20"/>
  </w:num>
  <w:num w:numId="23">
    <w:abstractNumId w:val="8"/>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01C08"/>
    <w:rsid w:val="0004700E"/>
    <w:rsid w:val="00067C88"/>
    <w:rsid w:val="00070C13"/>
    <w:rsid w:val="00084F33"/>
    <w:rsid w:val="00094E19"/>
    <w:rsid w:val="000A77A7"/>
    <w:rsid w:val="000C1B3E"/>
    <w:rsid w:val="000F25EC"/>
    <w:rsid w:val="00134A8F"/>
    <w:rsid w:val="001417C7"/>
    <w:rsid w:val="00177F4D"/>
    <w:rsid w:val="00180DDA"/>
    <w:rsid w:val="001B2A2D"/>
    <w:rsid w:val="001B737D"/>
    <w:rsid w:val="001C44A3"/>
    <w:rsid w:val="001F528A"/>
    <w:rsid w:val="001F704E"/>
    <w:rsid w:val="002125B0"/>
    <w:rsid w:val="00243228"/>
    <w:rsid w:val="00251483"/>
    <w:rsid w:val="00255CAA"/>
    <w:rsid w:val="00264305"/>
    <w:rsid w:val="002A0346"/>
    <w:rsid w:val="002A4487"/>
    <w:rsid w:val="002D3E8B"/>
    <w:rsid w:val="002D4575"/>
    <w:rsid w:val="002D5C0C"/>
    <w:rsid w:val="002E6B74"/>
    <w:rsid w:val="003315B3"/>
    <w:rsid w:val="00356CD0"/>
    <w:rsid w:val="00362CD9"/>
    <w:rsid w:val="00380DAF"/>
    <w:rsid w:val="00390FDB"/>
    <w:rsid w:val="003B28F5"/>
    <w:rsid w:val="003B7B7D"/>
    <w:rsid w:val="003C7A2A"/>
    <w:rsid w:val="003D1CCA"/>
    <w:rsid w:val="003D42E5"/>
    <w:rsid w:val="003D69D0"/>
    <w:rsid w:val="003F2918"/>
    <w:rsid w:val="003F430E"/>
    <w:rsid w:val="004661AD"/>
    <w:rsid w:val="004A559B"/>
    <w:rsid w:val="004D1D85"/>
    <w:rsid w:val="004D3C3A"/>
    <w:rsid w:val="004E5552"/>
    <w:rsid w:val="005107EB"/>
    <w:rsid w:val="00521345"/>
    <w:rsid w:val="005225E5"/>
    <w:rsid w:val="00526DF0"/>
    <w:rsid w:val="00545CC4"/>
    <w:rsid w:val="00551FFF"/>
    <w:rsid w:val="005607A2"/>
    <w:rsid w:val="0057198B"/>
    <w:rsid w:val="005B32A3"/>
    <w:rsid w:val="005C566C"/>
    <w:rsid w:val="005C7E69"/>
    <w:rsid w:val="005E262D"/>
    <w:rsid w:val="005F7E20"/>
    <w:rsid w:val="006652C3"/>
    <w:rsid w:val="00683906"/>
    <w:rsid w:val="00691FD0"/>
    <w:rsid w:val="006A5DFE"/>
    <w:rsid w:val="006B5404"/>
    <w:rsid w:val="006C5948"/>
    <w:rsid w:val="006F2A74"/>
    <w:rsid w:val="007118F5"/>
    <w:rsid w:val="00712AA4"/>
    <w:rsid w:val="00721AA1"/>
    <w:rsid w:val="00737550"/>
    <w:rsid w:val="007547F8"/>
    <w:rsid w:val="00765622"/>
    <w:rsid w:val="00770B6C"/>
    <w:rsid w:val="00783FEA"/>
    <w:rsid w:val="007C7AA7"/>
    <w:rsid w:val="0082480E"/>
    <w:rsid w:val="00851373"/>
    <w:rsid w:val="00851BA6"/>
    <w:rsid w:val="0085654D"/>
    <w:rsid w:val="00861160"/>
    <w:rsid w:val="008A4653"/>
    <w:rsid w:val="008A50CC"/>
    <w:rsid w:val="008D1694"/>
    <w:rsid w:val="008D51A8"/>
    <w:rsid w:val="008D79CB"/>
    <w:rsid w:val="008F07BC"/>
    <w:rsid w:val="0092692B"/>
    <w:rsid w:val="00943E9C"/>
    <w:rsid w:val="00953F4D"/>
    <w:rsid w:val="00960BB8"/>
    <w:rsid w:val="00964F5C"/>
    <w:rsid w:val="009C7095"/>
    <w:rsid w:val="00A0389B"/>
    <w:rsid w:val="00A446C9"/>
    <w:rsid w:val="00A635D6"/>
    <w:rsid w:val="00A8553A"/>
    <w:rsid w:val="00A93AED"/>
    <w:rsid w:val="00AA2811"/>
    <w:rsid w:val="00B03002"/>
    <w:rsid w:val="00B0392B"/>
    <w:rsid w:val="00B226F2"/>
    <w:rsid w:val="00B274DF"/>
    <w:rsid w:val="00B56BDF"/>
    <w:rsid w:val="00B60095"/>
    <w:rsid w:val="00B779DD"/>
    <w:rsid w:val="00B85CD6"/>
    <w:rsid w:val="00B90A27"/>
    <w:rsid w:val="00B9554D"/>
    <w:rsid w:val="00BB2B9F"/>
    <w:rsid w:val="00BD3CB8"/>
    <w:rsid w:val="00BD4E6F"/>
    <w:rsid w:val="00BF4DCE"/>
    <w:rsid w:val="00C05CE5"/>
    <w:rsid w:val="00C6171E"/>
    <w:rsid w:val="00C77ACE"/>
    <w:rsid w:val="00C87C6D"/>
    <w:rsid w:val="00CA6F2C"/>
    <w:rsid w:val="00CF1871"/>
    <w:rsid w:val="00D1133E"/>
    <w:rsid w:val="00D17A34"/>
    <w:rsid w:val="00D26628"/>
    <w:rsid w:val="00D332B3"/>
    <w:rsid w:val="00D55207"/>
    <w:rsid w:val="00D83F76"/>
    <w:rsid w:val="00D92B45"/>
    <w:rsid w:val="00D95962"/>
    <w:rsid w:val="00DC389B"/>
    <w:rsid w:val="00DE1FFE"/>
    <w:rsid w:val="00DE2FEE"/>
    <w:rsid w:val="00E00BE9"/>
    <w:rsid w:val="00E10F37"/>
    <w:rsid w:val="00E20C37"/>
    <w:rsid w:val="00E22A11"/>
    <w:rsid w:val="00E318F7"/>
    <w:rsid w:val="00E55927"/>
    <w:rsid w:val="00E912A6"/>
    <w:rsid w:val="00E930D9"/>
    <w:rsid w:val="00EA4844"/>
    <w:rsid w:val="00EA4D9C"/>
    <w:rsid w:val="00EB75EE"/>
    <w:rsid w:val="00EE11C9"/>
    <w:rsid w:val="00EE4C1D"/>
    <w:rsid w:val="00EF3685"/>
    <w:rsid w:val="00F159EB"/>
    <w:rsid w:val="00F25BF4"/>
    <w:rsid w:val="00F267DB"/>
    <w:rsid w:val="00F46F6F"/>
    <w:rsid w:val="00F55284"/>
    <w:rsid w:val="00F60608"/>
    <w:rsid w:val="00F62217"/>
    <w:rsid w:val="00FB17A9"/>
    <w:rsid w:val="00FB6F75"/>
    <w:rsid w:val="00FB7A21"/>
    <w:rsid w:val="00FC0EB3"/>
    <w:rsid w:val="00FE1D3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8"/>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7550"/>
    <w:rPr>
      <w:rFonts w:ascii="Tahoma" w:hAnsi="Tahoma" w:cs="Tahoma"/>
      <w:sz w:val="16"/>
      <w:szCs w:val="16"/>
    </w:rPr>
  </w:style>
  <w:style w:type="character" w:customStyle="1" w:styleId="BalloonTextChar">
    <w:name w:val="Balloon Text Char"/>
    <w:basedOn w:val="DefaultParagraphFont"/>
    <w:link w:val="BalloonText"/>
    <w:uiPriority w:val="99"/>
    <w:semiHidden/>
    <w:rsid w:val="00737550"/>
    <w:rPr>
      <w:rFonts w:ascii="Tahoma" w:hAnsi="Tahoma" w:cs="Tahoma"/>
      <w:sz w:val="16"/>
      <w:szCs w:val="16"/>
    </w:rPr>
  </w:style>
  <w:style w:type="paragraph" w:styleId="ListParagraph">
    <w:name w:val="List Paragraph"/>
    <w:basedOn w:val="Normal"/>
    <w:uiPriority w:val="34"/>
    <w:rsid w:val="007375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left" w:pos="1134"/>
      </w:tabs>
      <w:spacing w:after="120"/>
      <w:ind w:left="1134"/>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tabs>
        <w:tab w:val="num" w:pos="567"/>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tabs>
        <w:tab w:val="left" w:pos="142"/>
        <w:tab w:val="num" w:pos="567"/>
      </w:tabs>
      <w:spacing w:after="120"/>
      <w:ind w:left="567" w:hanging="567"/>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numbering" w:customStyle="1" w:styleId="BalloonText">
    <w:name w:val="ArtculoSecc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oleObject" Target="embeddings/Microsoft_Word_97_-_2003_Document1.doc"/><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B619-F598-4A49-B475-F98FE032D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1445</Words>
  <Characters>8239</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6</cp:revision>
  <dcterms:created xsi:type="dcterms:W3CDTF">2011-08-25T19:53:00Z</dcterms:created>
  <dcterms:modified xsi:type="dcterms:W3CDTF">2011-09-26T05:52:00Z</dcterms:modified>
</cp:coreProperties>
</file>